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900"/>
        <w:gridCol w:w="3720"/>
        <w:gridCol w:w="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auto" w:val="0"/>
        </w:trPr>
        <w:tc>
          <w:tcPr>
            <w:tcW w:w="7900" w:type="dxa"/>
            <w:tcMar>
              <w:top w:w="0" w:type="dxa"/>
              <w:left w:w="0" w:type="dxa"/>
              <w:bottom w:w="0" w:type="dxa"/>
              <w:right w:w="0" w:type="dxa"/>
            </w:tcMar>
          </w:tcPr>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245"/>
        </w:trPr>
        <w:tc>
          <w:tcPr>
            <w:tcW w:w="7900" w:type="dxa"/>
            <w:vMerge w:val="restart"/>
            <w:tcMar>
              <w:top w:w="0" w:type="dxa"/>
              <w:left w:w="0" w:type="dxa"/>
              <w:bottom w:w="0" w:type="dxa"/>
              <w:right w:w="0" w:type="dxa"/>
            </w:tcMar>
          </w:tcPr>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0"/>
              <w:gridCol w:w="20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185"/>
              </w:trPr>
              <w:tc>
                <w:tcPr>
                  <w:tcW w:w="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Bdr>
                      <w:top w:val="none" w:sz="0" w:space="0" w:color="auto"/>
                    </w:pBdr>
                    <w:bidi w:val="0"/>
                    <w:jc w:val="both"/>
                    <w:rPr>
                      <w:rFonts w:ascii="Arial" w:eastAsia="Arial" w:hAnsi="Arial" w:cs="Arial"/>
                      <w:b w:val="0"/>
                      <w:i w:val="0"/>
                      <w:strike w:val="0"/>
                      <w:color w:val="232323"/>
                      <w:sz w:val="18"/>
                      <w:u w:val="none"/>
                      <w:vertAlign w:val="baseline"/>
                      <w:lang w:val="fr-FR"/>
                    </w:rPr>
                  </w:pPr>
                  <w:bookmarkStart w:id="0" w:name="COVER_START"/>
                  <w:bookmarkEnd w:id="0"/>
                </w:p>
              </w:tc>
              <w:tc>
                <w:tcPr>
                  <w:tcW w:w="2040" w:type="dxa"/>
                  <w:vMerge w:val="restart"/>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98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204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tbl>
            <w:tblPr>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100"/>
              <w:gridCol w:w="6760"/>
            </w:tblGrid>
            <w:tr>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25"/>
              </w:trPr>
              <w:tc>
                <w:tcPr>
                  <w:tcW w:w="110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6760" w:type="dxa"/>
                  <w:vMerge w:val="restart"/>
                  <w:tcMar>
                    <w:top w:w="0" w:type="dxa"/>
                    <w:left w:w="0" w:type="dxa"/>
                    <w:bottom w:w="0" w:type="dxa"/>
                    <w:right w:w="0" w:type="dxa"/>
                  </w:tcMar>
                </w:tcPr>
                <w:p>
                  <w:pPr>
                    <w:pStyle w:val="NormalNoContentNoContent"/>
                    <w:spacing w:line="240" w:lineRule="exact"/>
                    <w:rPr>
                      <w:sz w:val="24"/>
                    </w:rPr>
                  </w:pPr>
                </w:p>
                <w:p>
                  <w:pPr>
                    <w:pStyle w:val="NormalNoContentNoContent"/>
                    <w:spacing w:after="570" w:line="240" w:lineRule="exact"/>
                    <w:rPr>
                      <w:sz w:val="24"/>
                    </w:rPr>
                  </w:pPr>
                </w:p>
                <w:p>
                  <w:pPr>
                    <w:pStyle w:val="CoverTitle"/>
                    <w:pBdr>
                      <w:top w:val="none" w:sz="0" w:space="0" w:color="auto"/>
                    </w:pBdr>
                    <w:bidi w:val="0"/>
                    <w:spacing w:before="540" w:after="0"/>
                    <w:ind w:left="0" w:right="0"/>
                    <w:jc w:val="left"/>
                    <w:rPr>
                      <w:rFonts w:ascii="Calibri" w:eastAsia="Calibri" w:hAnsi="Calibri" w:cs="Calibri"/>
                      <w:b/>
                      <w:i w:val="0"/>
                      <w:strike w:val="0"/>
                      <w:color w:val="0C1C49"/>
                      <w:sz w:val="56"/>
                      <w:u w:val="none"/>
                      <w:vertAlign w:val="baseline"/>
                      <w:lang w:val="fr-FR"/>
                    </w:rPr>
                  </w:pPr>
                  <w:r>
                    <w:rPr>
                      <w:rFonts w:ascii="Calibri" w:eastAsia="Calibri" w:hAnsi="Calibri" w:cs="Calibri"/>
                      <w:b/>
                      <w:i w:val="0"/>
                      <w:strike w:val="0"/>
                      <w:color w:val="0C1C49"/>
                      <w:sz w:val="56"/>
                      <w:u w:val="none"/>
                      <w:vertAlign w:val="baseline"/>
                      <w:lang w:val="fr-FR"/>
                    </w:rPr>
                    <w:t>BFT CREDIT 6 MOIS ISR</w:t>
                  </w:r>
                </w:p>
                <w:p>
                  <w:pPr>
                    <w:pStyle w:val="CoverSubTitle"/>
                    <w:pBdr>
                      <w:top w:val="none" w:sz="0" w:space="0" w:color="auto"/>
                    </w:pBdr>
                    <w:bidi w:val="0"/>
                    <w:spacing w:before="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 xml:space="preserve">OPCVM relevant de la Directive 2009/65/CE </w:t>
                  </w:r>
                </w:p>
                <w:p>
                  <w:pPr>
                    <w:pStyle w:val="CoverSubTitle"/>
                    <w:pBdr>
                      <w:bottom w:val="none" w:sz="0" w:space="0" w:color="auto"/>
                    </w:pBdr>
                    <w:bidi w:val="0"/>
                    <w:spacing w:after="33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FCP de droit français</w:t>
                  </w:r>
                </w:p>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50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65"/>
                    </w:trPr>
                    <w:tc>
                      <w:tcPr>
                        <w:tcW w:w="1500" w:type="dxa"/>
                        <w:shd w:val="clear" w:color="009EE0" w:fill="009EE0"/>
                        <w:tcMar>
                          <w:top w:w="0" w:type="dxa"/>
                          <w:left w:w="0" w:type="dxa"/>
                          <w:bottom w:w="0" w:type="dxa"/>
                          <w:right w:w="0" w:type="dxa"/>
                        </w:tcMar>
                      </w:tcPr>
                      <w:p>
                        <w:pPr>
                          <w:pStyle w:val="NormalNoContent"/>
                        </w:pPr>
                      </w:p>
                    </w:tc>
                  </w:tr>
                </w:tbl>
                <w:p>
                  <w:pPr>
                    <w:spacing w:after="0" w:line="165" w:lineRule="exact"/>
                    <w:rPr>
                      <w:sz w:val="17"/>
                    </w:rPr>
                  </w:pPr>
                  <w:r>
                    <w:t xml:space="preserve"> </w:t>
                  </w:r>
                </w:p>
                <w:p>
                  <w:pPr>
                    <w:pStyle w:val="CoverReportType"/>
                    <w:pBdr>
                      <w:top w:val="none" w:sz="0" w:space="0" w:color="auto"/>
                    </w:pBdr>
                    <w:bidi w:val="0"/>
                    <w:spacing w:before="0" w:after="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RAPPORT SEMESTRIEL</w:t>
                  </w:r>
                </w:p>
                <w:p>
                  <w:pPr>
                    <w:pStyle w:val="CoverDate"/>
                    <w:pBdr>
                      <w:top w:val="none" w:sz="0" w:space="0" w:color="auto"/>
                      <w:bottom w:val="none" w:sz="0" w:space="0" w:color="auto"/>
                    </w:pBdr>
                    <w:bidi w:val="0"/>
                    <w:spacing w:before="0" w:after="6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EXERCICE CLOS LE 31 MARS 2026</w:t>
                  </w:r>
                </w:p>
              </w:tc>
            </w:tr>
            <w:tr>
              <w:tblPrEx>
                <w:tblW w:w="0" w:type="auto"/>
                <w:tblInd w:w="2" w:type="dxa"/>
                <w:tblLayout w:type="fixed"/>
                <w:tblCellMar>
                  <w:left w:w="108" w:type="dxa"/>
                  <w:right w:w="108" w:type="dxa"/>
                </w:tblCellMar>
              </w:tblPrEx>
              <w:trPr>
                <w:trHeight w:hRule="auto" w:val="0"/>
              </w:trPr>
              <w:tc>
                <w:tcPr>
                  <w:tcW w:w="1100" w:type="dxa"/>
                  <w:tcMar>
                    <w:top w:w="0" w:type="dxa"/>
                    <w:left w:w="0" w:type="dxa"/>
                    <w:bottom w:w="0" w:type="dxa"/>
                    <w:right w:w="0" w:type="dxa"/>
                  </w:tcMar>
                </w:tcPr>
                <w:p>
                  <w:pPr>
                    <w:pStyle w:val="NormalNoContent"/>
                  </w:pPr>
                </w:p>
              </w:tc>
              <w:tc>
                <w:tcPr>
                  <w:tcW w:w="676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auto" w:val="0"/>
        </w:trPr>
        <w:tc>
          <w:tcPr>
            <w:tcW w:w="790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3720" w:type="dxa"/>
            <w:tcMar>
              <w:top w:w="0" w:type="dxa"/>
              <w:left w:w="0" w:type="dxa"/>
              <w:bottom w:w="0" w:type="dxa"/>
              <w:right w:w="0" w:type="dxa"/>
            </w:tcMar>
          </w:tcPr>
          <w:p>
            <w:pPr>
              <w:pBdr>
                <w:top w:val="none" w:sz="0" w:space="0" w:color="auto"/>
              </w:pBdr>
              <w:ind w:left="0"/>
              <w:rPr>
                <w:sz w:val="2"/>
              </w:rPr>
            </w:pPr>
            <w:r>
              <w:drawing>
                <wp:inline distT="0" distB="0" distL="0" distR="0">
                  <wp:extent cx="2349500" cy="4127500"/>
                  <wp:effectExtent l="0" t="0" r="0" b="0"/>
                  <wp:docPr id="1025" name="Image 1025"/>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0"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pPr>
              <w:rPr>
                <w:sz w:val="2"/>
              </w:rPr>
            </w:pPr>
          </w:p>
        </w:tc>
      </w:tr>
    </w:tbl>
    <w:p>
      <w:pPr>
        <w:pBdr>
          <w:top w:val="none" w:sz="0" w:space="0" w:color="auto"/>
        </w:pBdr>
        <w:spacing w:after="0"/>
        <w:ind w:left="0"/>
        <w:rPr>
          <w:sz w:val="2"/>
        </w:rPr>
      </w:pPr>
      <w:r>
        <w:drawing>
          <wp:inline distT="0" distB="0" distL="0" distR="0">
            <wp:extent cx="7556500" cy="6350000"/>
            <wp:effectExtent l="0" t="0" r="0" b="0"/>
            <wp:docPr id="1026" name="Image 1026"/>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0"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pPr>
        <w:pBdr>
          <w:top w:val="none" w:sz="0" w:space="0" w:color="auto"/>
        </w:pBdr>
        <w:bidi w:val="0"/>
        <w:spacing w:before="0" w:after="0"/>
        <w:ind w:left="10280" w:right="20"/>
        <w:jc w:val="both"/>
        <w:rPr>
          <w:rFonts w:ascii="Arial" w:eastAsia="Arial" w:hAnsi="Arial" w:cs="Arial"/>
          <w:b w:val="0"/>
          <w:i w:val="0"/>
          <w:strike w:val="0"/>
          <w:color w:val="232323"/>
          <w:sz w:val="2"/>
          <w:u w:val="none"/>
          <w:vertAlign w:val="baseline"/>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32BF8EC70DA356714DC57DB43C7D5EC4 "" </w:instrText>
      </w:r>
      <w:r>
        <w:rPr>
          <w:rFonts w:ascii="Arial" w:eastAsia="Arial" w:hAnsi="Arial" w:cs="Arial"/>
          <w:b w:val="0"/>
          <w:i w:val="0"/>
          <w:strike w:val="0"/>
          <w:color w:val="000000"/>
          <w:sz w:val="0"/>
          <w:u w:val="none"/>
          <w:vertAlign w:val="baseline"/>
          <w:lang w:val="fr-FR"/>
        </w:rPr>
        <w:fldChar w:fldCharType="separate"/>
      </w:r>
      <w:bookmarkStart w:id="2" w:name="32BF8EC70DA356714DC57DB43C7D5EC4"/>
      <w:bookmarkEnd w:id="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 w:name="Etat du patrimoine en EUR"/>
      <w:bookmarkEnd w:id="3"/>
      <w:r>
        <w:rPr>
          <w:rFonts w:ascii="Arial" w:eastAsia="Arial" w:hAnsi="Arial" w:cs="Arial"/>
          <w:b/>
          <w:i w:val="0"/>
          <w:strike w:val="0"/>
          <w:color w:val="232323"/>
          <w:sz w:val="36"/>
          <w:u w:val="none"/>
          <w:vertAlign w:val="baseline"/>
          <w:lang w:val="fr-FR"/>
        </w:rPr>
        <w:t>Etat du patrimoine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 w:name="BK_6B6AB55AD17959C0B12AE6F48CF8C3BA"/>
      <w:bookmarkEnd w:id="4"/>
      <w:r>
        <w:rPr>
          <w:rFonts w:ascii="Arial" w:eastAsia="Arial" w:hAnsi="Arial" w:cs="Arial"/>
          <w:b w:val="0"/>
          <w:i w:val="0"/>
          <w:strike w:val="0"/>
          <w:color w:val="FFFFFF"/>
          <w:sz w:val="2"/>
          <w:u w:val="none"/>
          <w:vertAlign w:val="baseline"/>
          <w:lang w:val="fr-FR"/>
        </w:rPr>
        <w:t>Etat du patrimoine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DE1A64D73072FE4AE631F89AB995F0EB "" </w:instrText>
      </w:r>
      <w:r>
        <w:rPr>
          <w:rFonts w:ascii="Arial" w:eastAsia="Arial" w:hAnsi="Arial" w:cs="Arial"/>
          <w:b w:val="0"/>
          <w:i w:val="0"/>
          <w:strike w:val="0"/>
          <w:color w:val="000000"/>
          <w:sz w:val="0"/>
          <w:u w:val="none"/>
          <w:vertAlign w:val="baseline"/>
          <w:lang w:val="fr-FR"/>
        </w:rPr>
        <w:fldChar w:fldCharType="separate"/>
      </w:r>
      <w:bookmarkStart w:id="5" w:name="DE1A64D73072FE4AE631F89AB995F0EB"/>
      <w:bookmarkEnd w:id="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0"/>
        <w:gridCol w:w="21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à l'arrêté périodique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1 121 943 350,62</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23 920 874,03</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320 113 365,42</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1 465 977 590,07</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-15 457 675,41</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1 450 519 914,66</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Les montants sont signés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D9E5E5282AC358710554E2B524687AC2 "" </w:instrText>
      </w:r>
      <w:r>
        <w:rPr>
          <w:rFonts w:ascii="Arial" w:eastAsia="Arial" w:hAnsi="Arial" w:cs="Arial"/>
          <w:b w:val="0"/>
          <w:i w:val="0"/>
          <w:strike w:val="0"/>
          <w:color w:val="000000"/>
          <w:sz w:val="0"/>
          <w:u w:val="none"/>
          <w:vertAlign w:val="baseline"/>
          <w:lang w:val="fr-FR"/>
        </w:rPr>
        <w:fldChar w:fldCharType="separate"/>
      </w:r>
      <w:bookmarkStart w:id="6" w:name="D9E5E5282AC358710554E2B524687AC2"/>
      <w:bookmarkEnd w:id="6"/>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7" w:name="Nombre de parts en circulation et valeur"/>
      <w:bookmarkEnd w:id="7"/>
      <w:r>
        <w:rPr>
          <w:rFonts w:ascii="Arial" w:eastAsia="Arial" w:hAnsi="Arial" w:cs="Arial"/>
          <w:b/>
          <w:i w:val="0"/>
          <w:strike w:val="0"/>
          <w:color w:val="232323"/>
          <w:sz w:val="36"/>
          <w:u w:val="none"/>
          <w:vertAlign w:val="baseline"/>
          <w:lang w:val="fr-FR"/>
        </w:rPr>
        <w:t>Nombre de parts en circulation et valeur nette d'inventaire par part</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 w:name="BK_5FC29098830DA85CB78F6B7A7A369631"/>
      <w:bookmarkEnd w:id="8"/>
      <w:r>
        <w:rPr>
          <w:rFonts w:ascii="Arial" w:eastAsia="Arial" w:hAnsi="Arial" w:cs="Arial"/>
          <w:b w:val="0"/>
          <w:i w:val="0"/>
          <w:strike w:val="0"/>
          <w:color w:val="FFFFFF"/>
          <w:sz w:val="2"/>
          <w:u w:val="none"/>
          <w:vertAlign w:val="baseline"/>
          <w:lang w:val="fr-FR"/>
        </w:rPr>
        <w:t>Nombre de parts en circulation et valeur nette d'inventaire par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09BE225CCD0079EC0940672CD4AFFE64 "" </w:instrText>
      </w:r>
      <w:r>
        <w:rPr>
          <w:rFonts w:ascii="Arial" w:eastAsia="Arial" w:hAnsi="Arial" w:cs="Arial"/>
          <w:b w:val="0"/>
          <w:i w:val="0"/>
          <w:strike w:val="0"/>
          <w:color w:val="000000"/>
          <w:sz w:val="0"/>
          <w:u w:val="none"/>
          <w:vertAlign w:val="baseline"/>
          <w:lang w:val="fr-FR"/>
        </w:rPr>
        <w:fldChar w:fldCharType="separate"/>
      </w:r>
      <w:bookmarkStart w:id="9" w:name="09BE225CCD0079EC0940672CD4AFFE64"/>
      <w:bookmarkEnd w:id="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724"/>
        <w:gridCol w:w="1116"/>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nette d'inventaire par part</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CREDIT 6 MOIS ISR I-C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1 062 494 571,57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9 173,0560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115 827,76</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CREDIT 6 MOIS ISR O-C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17 365 907,48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1 567,928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11 075,70</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CREDIT 6 MOIS ISR P-C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16 297 984,52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1 438,7279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11 328,05</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CREDIT 6 MOIS ISR R-C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111,09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111,09</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CREDIT 6 MOIS ISR S-C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354 361 340,00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321 779,104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1 101,25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8"/>
          <w:footerReference w:type="default" r:id="rId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0886DBF900EE77A4AEA667DF6B3BE4ED "" </w:instrText>
      </w:r>
      <w:r>
        <w:rPr>
          <w:rFonts w:ascii="Arial" w:eastAsia="Arial" w:hAnsi="Arial" w:cs="Arial"/>
          <w:b w:val="0"/>
          <w:i w:val="0"/>
          <w:strike w:val="0"/>
          <w:color w:val="000000"/>
          <w:sz w:val="0"/>
          <w:u w:val="none"/>
          <w:vertAlign w:val="baseline"/>
          <w:lang w:val="fr-FR"/>
        </w:rPr>
        <w:fldChar w:fldCharType="separate"/>
      </w:r>
      <w:bookmarkStart w:id="10" w:name="0886DBF900EE77A4AEA667DF6B3BE4ED"/>
      <w:bookmarkEnd w:id="10"/>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1" w:name="Eléments du portefeuille titres"/>
      <w:bookmarkEnd w:id="11"/>
      <w:r>
        <w:rPr>
          <w:rFonts w:ascii="Arial" w:eastAsia="Arial" w:hAnsi="Arial" w:cs="Arial"/>
          <w:b/>
          <w:i w:val="0"/>
          <w:strike w:val="0"/>
          <w:color w:val="232323"/>
          <w:sz w:val="36"/>
          <w:u w:val="none"/>
          <w:vertAlign w:val="baseline"/>
          <w:lang w:val="fr-FR"/>
        </w:rPr>
        <w:t>Eléments du portefeuille titres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2" w:name="BK_087A59EF53C1FBD2097E123C1ABCE783"/>
      <w:bookmarkEnd w:id="12"/>
      <w:r>
        <w:rPr>
          <w:rFonts w:ascii="Arial" w:eastAsia="Arial" w:hAnsi="Arial" w:cs="Arial"/>
          <w:b w:val="0"/>
          <w:i w:val="0"/>
          <w:strike w:val="0"/>
          <w:color w:val="FFFFFF"/>
          <w:sz w:val="2"/>
          <w:u w:val="none"/>
          <w:vertAlign w:val="baseline"/>
          <w:lang w:val="fr-FR"/>
        </w:rPr>
        <w:t>Eléments du portefeuille titres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5AE00BA73F30ACCC8AD838BBE163D8CD "" </w:instrText>
      </w:r>
      <w:r>
        <w:rPr>
          <w:rFonts w:ascii="Arial" w:eastAsia="Arial" w:hAnsi="Arial" w:cs="Arial"/>
          <w:b w:val="0"/>
          <w:i w:val="0"/>
          <w:strike w:val="0"/>
          <w:color w:val="000000"/>
          <w:sz w:val="0"/>
          <w:u w:val="none"/>
          <w:vertAlign w:val="baseline"/>
          <w:lang w:val="fr-FR"/>
        </w:rPr>
        <w:fldChar w:fldCharType="separate"/>
      </w:r>
      <w:bookmarkStart w:id="13" w:name="5AE00BA73F30ACCC8AD838BBE163D8CD"/>
      <w:bookmarkEnd w:id="1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562"/>
        </w:trPr>
        <w:tc>
          <w:tcPr>
            <w:tcW w:w="5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62,38</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61,72</w:t>
            </w:r>
          </w:p>
        </w:tc>
      </w:tr>
      <w:tr>
        <w:tblPrEx>
          <w:tblW w:w="5000" w:type="pct"/>
          <w:tblInd w:w="0" w:type="dxa"/>
          <w:tblLayout w:type="fixed"/>
          <w:tblCellMar>
            <w:left w:w="108" w:type="dxa"/>
            <w:right w:w="108" w:type="dxa"/>
          </w:tblCellMar>
        </w:tblPrEx>
        <w:trPr>
          <w:trHeight w:hRule="exact" w:val="62"/>
        </w:trPr>
        <w:tc>
          <w:tcPr>
            <w:tcW w:w="5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14,97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14,81</w:t>
            </w:r>
          </w:p>
        </w:tc>
      </w:tr>
      <w:tr>
        <w:tblPrEx>
          <w:tblW w:w="5000" w:type="pct"/>
          <w:tblInd w:w="0" w:type="dxa"/>
          <w:tblLayout w:type="fixed"/>
          <w:tblCellMar>
            <w:left w:w="108" w:type="dxa"/>
            <w:right w:w="108" w:type="dxa"/>
          </w:tblCellMar>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9,63</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0"/>
          <w:footerReference w:type="default" r:id="rId11"/>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C365A612286B965118CEC7B4C09E6AE4 "" </w:instrText>
      </w:r>
      <w:r>
        <w:rPr>
          <w:rFonts w:ascii="Arial" w:eastAsia="Arial" w:hAnsi="Arial" w:cs="Arial"/>
          <w:b w:val="0"/>
          <w:i w:val="0"/>
          <w:strike w:val="0"/>
          <w:color w:val="000000"/>
          <w:sz w:val="0"/>
          <w:u w:val="none"/>
          <w:vertAlign w:val="baseline"/>
          <w:lang w:val="fr-FR"/>
        </w:rPr>
        <w:fldChar w:fldCharType="separate"/>
      </w:r>
      <w:bookmarkStart w:id="14" w:name="C365A612286B965118CEC7B4C09E6AE4"/>
      <w:bookmarkEnd w:id="14"/>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5" w:name="Répartition des actifs du A), B), C), D)"/>
      <w:bookmarkEnd w:id="15"/>
      <w:r>
        <w:rPr>
          <w:rFonts w:ascii="Arial" w:eastAsia="Arial" w:hAnsi="Arial" w:cs="Arial"/>
          <w:b/>
          <w:i w:val="0"/>
          <w:strike w:val="0"/>
          <w:color w:val="232323"/>
          <w:sz w:val="36"/>
          <w:u w:val="none"/>
          <w:vertAlign w:val="baseline"/>
          <w:lang w:val="fr-FR"/>
        </w:rPr>
        <w:t>Répartition des actifs du A), B), C), D) du portefeuille titres, par devise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6" w:name="BK_C0543A569821AC9CAD9C71D515083358"/>
      <w:bookmarkEnd w:id="16"/>
      <w:r>
        <w:rPr>
          <w:rFonts w:ascii="Arial" w:eastAsia="Arial" w:hAnsi="Arial" w:cs="Arial"/>
          <w:b w:val="0"/>
          <w:i w:val="0"/>
          <w:strike w:val="0"/>
          <w:color w:val="FFFFFF"/>
          <w:sz w:val="2"/>
          <w:u w:val="none"/>
          <w:vertAlign w:val="baseline"/>
          <w:lang w:val="fr-FR"/>
        </w:rPr>
        <w:t>Répartition des actifs du A), B), C), D) du portefeuille titres, par devise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0AC71D3865C9C2AD37E1FAC3F65C73FD "" </w:instrText>
      </w:r>
      <w:r>
        <w:rPr>
          <w:rFonts w:ascii="Arial" w:eastAsia="Arial" w:hAnsi="Arial" w:cs="Arial"/>
          <w:b w:val="0"/>
          <w:i w:val="0"/>
          <w:strike w:val="0"/>
          <w:color w:val="000000"/>
          <w:sz w:val="0"/>
          <w:u w:val="none"/>
          <w:vertAlign w:val="baseline"/>
          <w:lang w:val="fr-FR"/>
        </w:rPr>
        <w:fldChar w:fldCharType="separate"/>
      </w:r>
      <w:bookmarkStart w:id="17" w:name="0AC71D3865C9C2AD37E1FAC3F65C73FD"/>
      <w:bookmarkEnd w:id="1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585"/>
        <w:gridCol w:w="917"/>
        <w:gridCol w:w="1574"/>
        <w:gridCol w:w="1594"/>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1 121 943 350,62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77,35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76,53</w:t>
            </w:r>
          </w:p>
        </w:tc>
      </w:tr>
      <w:tr>
        <w:tblPrEx>
          <w:tblW w:w="5000" w:type="pct"/>
          <w:tblInd w:w="0" w:type="dxa"/>
          <w:tblLayout w:type="fixed"/>
          <w:tblCellMar>
            <w:left w:w="108" w:type="dxa"/>
            <w:right w:w="108" w:type="dxa"/>
          </w:tblCellMar>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NonGrasCentreNoContent"/>
              <w:pBdr>
                <w:top w:val="none" w:sz="0" w:space="0" w:color="auto"/>
              </w:pBdr>
              <w:bidi w:val="0"/>
              <w:ind w:right="100"/>
              <w:jc w:val="center"/>
              <w:rPr>
                <w:rFonts w:ascii="Arial" w:eastAsia="Arial" w:hAnsi="Arial" w:cs="Arial"/>
                <w:b w:val="0"/>
                <w:i w:val="0"/>
                <w:strike w:val="0"/>
                <w:color w:val="232323"/>
                <w:sz w:val="16"/>
                <w:u w:val="none"/>
                <w:vertAlign w:val="baseline"/>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1 121 943 350,62</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77,35</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76,53</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2"/>
          <w:footerReference w:type="default" r:id="rId13"/>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6E0E96350DE79787424F74D45516E0A9 "" </w:instrText>
      </w:r>
      <w:r>
        <w:rPr>
          <w:rFonts w:ascii="Arial" w:eastAsia="Arial" w:hAnsi="Arial" w:cs="Arial"/>
          <w:b w:val="0"/>
          <w:i w:val="0"/>
          <w:strike w:val="0"/>
          <w:color w:val="000000"/>
          <w:sz w:val="0"/>
          <w:u w:val="none"/>
          <w:vertAlign w:val="baseline"/>
          <w:lang w:val="fr-FR"/>
        </w:rPr>
        <w:fldChar w:fldCharType="separate"/>
      </w:r>
      <w:bookmarkStart w:id="18" w:name="6E0E96350DE79787424F74D45516E0A9"/>
      <w:bookmarkEnd w:id="18"/>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r>
        <w:rPr>
          <w:rFonts w:ascii="Arial" w:eastAsia="Arial" w:hAnsi="Arial" w:cs="Arial"/>
          <w:b/>
          <w:i w:val="0"/>
          <w:strike w:val="0"/>
          <w:color w:val="232323"/>
          <w:sz w:val="36"/>
          <w:u w:val="none"/>
          <w:vertAlign w:val="baseline"/>
          <w:lang w:val="fr-FR"/>
        </w:rPr>
        <w:t>Répartition des actifs du A), B), C), D) du portefeuille titres, par pays de résidence de l'émetteur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9" w:name="BK_C2DBD419B4AB72CB1D35637D8991C173"/>
      <w:bookmarkEnd w:id="19"/>
      <w:r>
        <w:rPr>
          <w:rFonts w:ascii="Arial" w:eastAsia="Arial" w:hAnsi="Arial" w:cs="Arial"/>
          <w:b w:val="0"/>
          <w:i w:val="0"/>
          <w:strike w:val="0"/>
          <w:color w:val="FFFFFF"/>
          <w:sz w:val="2"/>
          <w:u w:val="none"/>
          <w:vertAlign w:val="baseline"/>
          <w:lang w:val="fr-FR"/>
        </w:rPr>
        <w:t>Répartition des actifs du A), B), C), D) du portefeuille titres, par pays de résidence de l'émetteur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5BA9560AC153CE92304089F53F963ED6 "" </w:instrText>
      </w:r>
      <w:r>
        <w:rPr>
          <w:rFonts w:ascii="Arial" w:eastAsia="Arial" w:hAnsi="Arial" w:cs="Arial"/>
          <w:b w:val="0"/>
          <w:i w:val="0"/>
          <w:strike w:val="0"/>
          <w:color w:val="000000"/>
          <w:sz w:val="0"/>
          <w:u w:val="none"/>
          <w:vertAlign w:val="baseline"/>
          <w:lang w:val="fr-FR"/>
        </w:rPr>
        <w:fldChar w:fldCharType="separate"/>
      </w:r>
      <w:bookmarkStart w:id="20" w:name="5BA9560AC153CE92304089F53F963ED6"/>
      <w:bookmarkEnd w:id="2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20,40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20,19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12,68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12,55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6,98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6,91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5,22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5,16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ETATS-UNIS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2,37</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FINLANDE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2,24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2,22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NORVEGE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1,87</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CANADA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DANEMARK</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1,47</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AUSTRALIE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AUTRICHE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ISLANDE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JAPON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NOUVELLE-ZELANDE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PORTUGAL</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REPUBLIQUE TCHEQUE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GRECE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SUISSE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77,35</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76,53</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4"/>
          <w:footerReference w:type="default" r:id="rId15"/>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4325C89683B2250D4A027AF6455990FA "" </w:instrText>
      </w:r>
      <w:r>
        <w:rPr>
          <w:rFonts w:ascii="Arial" w:eastAsia="Arial" w:hAnsi="Arial" w:cs="Arial"/>
          <w:b w:val="0"/>
          <w:i w:val="0"/>
          <w:strike w:val="0"/>
          <w:color w:val="000000"/>
          <w:sz w:val="0"/>
          <w:u w:val="none"/>
          <w:vertAlign w:val="baseline"/>
          <w:lang w:val="fr-FR"/>
        </w:rPr>
        <w:fldChar w:fldCharType="separate"/>
      </w:r>
      <w:bookmarkStart w:id="21" w:name="4325C89683B2250D4A027AF6455990FA"/>
      <w:bookmarkEnd w:id="21"/>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2" w:name="Répartition des autres actifs du E) du p"/>
      <w:bookmarkEnd w:id="22"/>
      <w:r>
        <w:rPr>
          <w:rFonts w:ascii="Arial" w:eastAsia="Arial" w:hAnsi="Arial" w:cs="Arial"/>
          <w:b/>
          <w:i w:val="0"/>
          <w:strike w:val="0"/>
          <w:color w:val="232323"/>
          <w:sz w:val="36"/>
          <w:u w:val="none"/>
          <w:vertAlign w:val="baseline"/>
          <w:lang w:val="fr-FR"/>
        </w:rPr>
        <w:t>Répartition des autres actifs du E) du portefeuille titres, par nature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3" w:name="BK_074E5BC1BB1FAC0B9D91EB8BA3C1F1B7"/>
      <w:bookmarkEnd w:id="23"/>
      <w:r>
        <w:rPr>
          <w:rFonts w:ascii="Arial" w:eastAsia="Arial" w:hAnsi="Arial" w:cs="Arial"/>
          <w:b w:val="0"/>
          <w:i w:val="0"/>
          <w:strike w:val="0"/>
          <w:color w:val="FFFFFF"/>
          <w:sz w:val="2"/>
          <w:u w:val="none"/>
          <w:vertAlign w:val="baseline"/>
          <w:lang w:val="fr-FR"/>
        </w:rPr>
        <w:t>Répartition des autres actifs du E) du portefeuille titres, par nature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0F2E52BACC7917C3DA727147289ABD8A "" </w:instrText>
      </w:r>
      <w:r>
        <w:rPr>
          <w:rFonts w:ascii="Arial" w:eastAsia="Arial" w:hAnsi="Arial" w:cs="Arial"/>
          <w:b w:val="0"/>
          <w:i w:val="0"/>
          <w:strike w:val="0"/>
          <w:color w:val="000000"/>
          <w:sz w:val="0"/>
          <w:u w:val="none"/>
          <w:vertAlign w:val="baseline"/>
          <w:lang w:val="fr-FR"/>
        </w:rPr>
        <w:fldChar w:fldCharType="separate"/>
      </w:r>
      <w:bookmarkStart w:id="24" w:name="0F2E52BACC7917C3DA727147289ABD8A"/>
      <w:bookmarkEnd w:id="2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9,63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9,73</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9,63</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6"/>
          <w:footerReference w:type="default" r:id="rId17"/>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B530909E5A27B03EEE5416FB7AFD0E64 "" </w:instrText>
      </w:r>
      <w:r>
        <w:rPr>
          <w:rFonts w:ascii="Arial" w:eastAsia="Arial" w:hAnsi="Arial" w:cs="Arial"/>
          <w:b w:val="0"/>
          <w:i w:val="0"/>
          <w:strike w:val="0"/>
          <w:color w:val="000000"/>
          <w:sz w:val="0"/>
          <w:u w:val="none"/>
          <w:vertAlign w:val="baseline"/>
          <w:lang w:val="fr-FR"/>
        </w:rPr>
        <w:fldChar w:fldCharType="separate"/>
      </w:r>
      <w:bookmarkStart w:id="25" w:name="B530909E5A27B03EEE5416FB7AFD0E64"/>
      <w:bookmarkEnd w:id="2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6" w:name="Mouvements dans le portefeuille titres e"/>
      <w:bookmarkEnd w:id="26"/>
      <w:r>
        <w:rPr>
          <w:rFonts w:ascii="Arial" w:eastAsia="Arial" w:hAnsi="Arial" w:cs="Arial"/>
          <w:b/>
          <w:i w:val="0"/>
          <w:strike w:val="0"/>
          <w:color w:val="232323"/>
          <w:sz w:val="36"/>
          <w:u w:val="none"/>
          <w:vertAlign w:val="baseline"/>
          <w:lang w:val="fr-FR"/>
        </w:rPr>
        <w:t>Mouvements dans le portefeuille titres en cours de période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7" w:name="BK_88BAB0DB3077DA9204A1C2DDCB25B492"/>
      <w:bookmarkEnd w:id="27"/>
      <w:r>
        <w:rPr>
          <w:rFonts w:ascii="Arial" w:eastAsia="Arial" w:hAnsi="Arial" w:cs="Arial"/>
          <w:b w:val="0"/>
          <w:i w:val="0"/>
          <w:strike w:val="0"/>
          <w:color w:val="FFFFFF"/>
          <w:sz w:val="2"/>
          <w:u w:val="none"/>
          <w:vertAlign w:val="baseline"/>
          <w:lang w:val="fr-FR"/>
        </w:rPr>
        <w:t>Mouvements dans le portefeuille titres en cours de période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BBFE45639E70DC18B516064F0DC66305 "" </w:instrText>
      </w:r>
      <w:r>
        <w:rPr>
          <w:rFonts w:ascii="Arial" w:eastAsia="Arial" w:hAnsi="Arial" w:cs="Arial"/>
          <w:b w:val="0"/>
          <w:i w:val="0"/>
          <w:strike w:val="0"/>
          <w:color w:val="000000"/>
          <w:sz w:val="0"/>
          <w:u w:val="none"/>
          <w:vertAlign w:val="baseline"/>
          <w:lang w:val="fr-FR"/>
        </w:rPr>
        <w:fldChar w:fldCharType="separate"/>
      </w:r>
      <w:bookmarkStart w:id="28" w:name="BBFE45639E70DC18B516064F0DC66305"/>
      <w:bookmarkEnd w:id="2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43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Mouvements (en montant)</w:t>
            </w:r>
          </w:p>
        </w:tc>
      </w:tr>
      <w:tr>
        <w:tblPrEx>
          <w:tblW w:w="5000" w:type="pct"/>
          <w:tblInd w:w="0" w:type="dxa"/>
          <w:tblLayout w:type="fixed"/>
          <w:tblCellMar>
            <w:left w:w="108" w:type="dxa"/>
            <w:right w:w="108" w:type="dxa"/>
          </w:tblCellMar>
        </w:tblPrEx>
        <w:trPr>
          <w:trHeight w:val="385"/>
        </w:trPr>
        <w:tc>
          <w:tcPr>
            <w:tcW w:w="646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Cessions</w:t>
            </w:r>
          </w:p>
        </w:tc>
      </w:tr>
      <w:tr>
        <w:tblPrEx>
          <w:tblW w:w="5000" w:type="pct"/>
          <w:tblInd w:w="0" w:type="dxa"/>
          <w:tblLayout w:type="fixed"/>
          <w:tblCellMar>
            <w:left w:w="108" w:type="dxa"/>
            <w:right w:w="108" w:type="dxa"/>
          </w:tblCellMar>
        </w:tblPrEx>
        <w:trPr>
          <w:trHeight w:val="562"/>
        </w:trPr>
        <w:tc>
          <w:tcPr>
            <w:tcW w:w="646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239 170 061,90</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522 777 898,99</w:t>
            </w:r>
          </w:p>
        </w:tc>
      </w:tr>
      <w:tr>
        <w:tblPrEx>
          <w:tblW w:w="5000" w:type="pct"/>
          <w:tblInd w:w="0" w:type="dxa"/>
          <w:tblLayout w:type="fixed"/>
          <w:tblCellMar>
            <w:left w:w="108" w:type="dxa"/>
            <w:right w:w="108" w:type="dxa"/>
          </w:tblCellMar>
        </w:tblPrEx>
        <w:trPr>
          <w:trHeight w:hRule="exact" w:val="62"/>
        </w:trPr>
        <w:tc>
          <w:tcPr>
            <w:tcW w:w="646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43 649 390,00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124 232 550,00</w:t>
            </w:r>
          </w:p>
        </w:tc>
      </w:tr>
      <w:tr>
        <w:tblPrEx>
          <w:tblW w:w="5000" w:type="pct"/>
          <w:tblInd w:w="0" w:type="dxa"/>
          <w:tblLayout w:type="fixed"/>
          <w:tblCellMar>
            <w:left w:w="108" w:type="dxa"/>
            <w:right w:w="108" w:type="dxa"/>
          </w:tblCellMar>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48 439 094,00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82 710 948,20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8"/>
          <w:footerReference w:type="default" r:id="rId1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F6CA4D7318643856CBBC7A3EA54D35FC "" </w:instrText>
      </w:r>
      <w:r>
        <w:rPr>
          <w:rFonts w:ascii="Arial" w:eastAsia="Arial" w:hAnsi="Arial" w:cs="Arial"/>
          <w:b w:val="0"/>
          <w:i w:val="0"/>
          <w:strike w:val="0"/>
          <w:color w:val="000000"/>
          <w:sz w:val="0"/>
          <w:u w:val="none"/>
          <w:vertAlign w:val="baseline"/>
          <w:lang w:val="fr-FR"/>
        </w:rPr>
        <w:fldChar w:fldCharType="separate"/>
      </w:r>
      <w:bookmarkStart w:id="29" w:name="F6CA4D7318643856CBBC7A3EA54D35FC"/>
      <w:bookmarkEnd w:id="29"/>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0" w:name="Information sur les commissions de surpe"/>
      <w:bookmarkEnd w:id="30"/>
      <w:r>
        <w:rPr>
          <w:rFonts w:ascii="Arial" w:eastAsia="Arial" w:hAnsi="Arial" w:cs="Arial"/>
          <w:b/>
          <w:i w:val="0"/>
          <w:strike w:val="0"/>
          <w:color w:val="232323"/>
          <w:sz w:val="36"/>
          <w:u w:val="none"/>
          <w:vertAlign w:val="baseline"/>
          <w:lang w:val="fr-FR"/>
        </w:rPr>
        <w:t>Information sur les commissions de surperformance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1" w:name="BK_65A49C4FD06777633EB57C35274C1733"/>
      <w:bookmarkEnd w:id="31"/>
      <w:r>
        <w:rPr>
          <w:rFonts w:ascii="Arial" w:eastAsia="Arial" w:hAnsi="Arial" w:cs="Arial"/>
          <w:b w:val="0"/>
          <w:i w:val="0"/>
          <w:strike w:val="0"/>
          <w:color w:val="FFFFFF"/>
          <w:sz w:val="2"/>
          <w:u w:val="none"/>
          <w:vertAlign w:val="baseline"/>
          <w:lang w:val="fr-FR"/>
        </w:rPr>
        <w:t>Information sur les commissions de surperformance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C0CB9BA514F6907AB91B63318FCDE941 "" </w:instrText>
      </w:r>
      <w:r>
        <w:rPr>
          <w:rFonts w:ascii="Arial" w:eastAsia="Arial" w:hAnsi="Arial" w:cs="Arial"/>
          <w:b w:val="0"/>
          <w:i w:val="0"/>
          <w:strike w:val="0"/>
          <w:color w:val="000000"/>
          <w:sz w:val="0"/>
          <w:u w:val="none"/>
          <w:vertAlign w:val="baseline"/>
          <w:lang w:val="fr-FR"/>
        </w:rPr>
        <w:fldChar w:fldCharType="separate"/>
      </w:r>
      <w:bookmarkStart w:id="32" w:name="C0CB9BA514F6907AB91B63318FCDE941"/>
      <w:bookmarkEnd w:id="3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4"/>
        <w:gridCol w:w="2153"/>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bottom w:val="single" w:sz="4" w:space="0" w:color="232323"/>
            </w:tcBorders>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31/03/2026</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BFT CREDIT 6 MOIS ISR I-C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11 862,35</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0,00</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BFT CREDIT 6 MOIS ISR O-C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BFT CREDIT 6 MOIS ISR 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103,07</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0,00</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BFT CREDIT 6 MOIS ISR R-C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BFT CREDIT 6 MOIS ISR S-C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642,04</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0,00</w:t>
            </w:r>
          </w:p>
        </w:tc>
      </w:tr>
    </w:tbl>
    <w:p>
      <w:pPr>
        <w:pStyle w:val="Text"/>
        <w:pBdr>
          <w:top w:val="none" w:sz="0" w:space="0" w:color="auto"/>
        </w:pBdr>
        <w:bidi w:val="0"/>
        <w:spacing w:before="0" w:after="100" w:line="240" w:lineRule="auto"/>
        <w:ind w:left="0" w:right="0"/>
        <w:jc w:val="both"/>
        <w:rPr>
          <w:rFonts w:ascii="Arial" w:eastAsia="Arial" w:hAnsi="Arial" w:cs="Arial"/>
          <w:b w:val="0"/>
          <w:i w:val="0"/>
          <w:strike w:val="0"/>
          <w:color w:val="232323"/>
          <w:sz w:val="20"/>
          <w:u w:val="none"/>
          <w:vertAlign w:val="baseline"/>
          <w:lang w:val="fr-FR"/>
        </w:rPr>
      </w:pPr>
    </w:p>
    <w:p>
      <w:pPr>
        <w:pStyle w:val="TableNote"/>
        <w:pBdr>
          <w:top w:val="none" w:sz="0" w:space="0" w:color="auto"/>
          <w:bottom w:val="none" w:sz="0" w:space="0" w:color="auto"/>
        </w:pBdr>
        <w:bidi w:val="0"/>
        <w:spacing w:before="100" w:after="1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(1) par rapport à l'actif net de l’arrêté comptable</w:t>
      </w:r>
    </w:p>
    <w:p>
      <w:pPr>
        <w:pStyle w:val="TableNote"/>
        <w:pBdr>
          <w:top w:val="none" w:sz="0" w:space="0" w:color="auto"/>
          <w:bottom w:val="none" w:sz="0" w:space="0" w:color="auto"/>
        </w:pBdr>
        <w:bidi w:val="0"/>
        <w:spacing w:before="100" w:after="15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(2) par rapport à l'actif net moyen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20"/>
          <w:footerReference w:type="default" r:id="rId21"/>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2FCDB7D95C71DB1300DBDF32BC93CD4B "" </w:instrText>
      </w:r>
      <w:r>
        <w:rPr>
          <w:rFonts w:ascii="Arial" w:eastAsia="Arial" w:hAnsi="Arial" w:cs="Arial"/>
          <w:b w:val="0"/>
          <w:i w:val="0"/>
          <w:strike w:val="0"/>
          <w:color w:val="000000"/>
          <w:sz w:val="0"/>
          <w:u w:val="none"/>
          <w:vertAlign w:val="baseline"/>
          <w:lang w:val="fr-FR"/>
        </w:rPr>
        <w:fldChar w:fldCharType="separate"/>
      </w:r>
      <w:bookmarkStart w:id="33" w:name="2FCDB7D95C71DB1300DBDF32BC93CD4B"/>
      <w:bookmarkEnd w:id="33"/>
      <w:r>
        <w:rPr>
          <w:rFonts w:ascii="Arial" w:eastAsia="Arial" w:hAnsi="Arial" w:cs="Arial"/>
          <w:b w:val="0"/>
          <w:i w:val="0"/>
          <w:strike w:val="0"/>
          <w:color w:val="000000"/>
          <w:sz w:val="0"/>
          <w:u w:val="none"/>
          <w:vertAlign w:val="baseline"/>
          <w:lang w:val="fr-FR"/>
        </w:rPr>
        <w:fldChar w:fldCharType="end"/>
      </w:r>
    </w:p>
    <w:p>
      <w:pPr>
        <w:pStyle w:val="Heading5"/>
        <w:pBdr>
          <w:top w:val="none" w:sz="0" w:space="0" w:color="auto"/>
        </w:pBdr>
        <w:bidi w:val="0"/>
        <w:spacing w:before="240" w:after="160" w:line="240" w:lineRule="auto"/>
        <w:ind w:left="0" w:right="0"/>
        <w:jc w:val="both"/>
        <w:rPr>
          <w:rFonts w:ascii="Arial" w:eastAsia="Arial" w:hAnsi="Arial" w:cs="Arial"/>
          <w:b/>
          <w:i w:val="0"/>
          <w:strike w:val="0"/>
          <w:color w:val="232323"/>
          <w:sz w:val="32"/>
          <w:u w:val="none"/>
          <w:vertAlign w:val="baseline"/>
          <w:lang w:val="fr-FR"/>
        </w:rPr>
      </w:pPr>
      <w:bookmarkStart w:id="34" w:name="&lt;font size=&quot;5&quot;&gt;Transparence des opératio"/>
      <w:bookmarkEnd w:id="34"/>
      <w:r>
        <w:rPr>
          <w:rFonts w:ascii="Arial" w:eastAsia="Arial" w:hAnsi="Arial" w:cs="Arial"/>
          <w:b/>
          <w:i w:val="0"/>
          <w:strike w:val="0"/>
          <w:color w:val="232323"/>
          <w:sz w:val="36"/>
          <w:u w:val="none"/>
          <w:vertAlign w:val="baseline"/>
          <w:lang w:val="fr-FR"/>
        </w:rPr>
        <w:t>Transparence des opérations de financement sur titres et de la réutilisation des instruments financiers</w:t>
      </w:r>
      <w:r>
        <w:rPr>
          <w:rFonts w:ascii="Arial" w:eastAsia="Arial" w:hAnsi="Arial" w:cs="Arial"/>
          <w:b/>
          <w:i w:val="0"/>
          <w:strike w:val="0"/>
          <w:color w:val="232323"/>
          <w:sz w:val="32"/>
          <w:u w:val="none"/>
          <w:vertAlign w:val="baseline"/>
          <w:lang w:val="fr-FR"/>
        </w:rPr>
        <w:t xml:space="preserve"> - Règlement SFTR - en devise de comptabilité de l’OPC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5" w:name="BK_47E35F0C3B607B01680CE9F078661A0E"/>
      <w:bookmarkEnd w:id="3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0A2134A82608C85988264F4682595BB9 "" </w:instrText>
      </w:r>
      <w:r>
        <w:rPr>
          <w:rFonts w:ascii="Arial" w:eastAsia="Arial" w:hAnsi="Arial" w:cs="Arial"/>
          <w:b w:val="0"/>
          <w:i w:val="0"/>
          <w:strike w:val="0"/>
          <w:color w:val="000000"/>
          <w:sz w:val="0"/>
          <w:u w:val="none"/>
          <w:vertAlign w:val="baseline"/>
          <w:lang w:val="fr-FR"/>
        </w:rPr>
        <w:fldChar w:fldCharType="separate"/>
      </w:r>
      <w:bookmarkStart w:id="36" w:name="0A2134A82608C85988264F4682595BB9"/>
      <w:bookmarkEnd w:id="3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9"/>
        <w:gridCol w:w="1355"/>
        <w:gridCol w:w="1376"/>
        <w:gridCol w:w="1356"/>
        <w:gridCol w:w="1376"/>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800" w:type="dxa"/>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TRS</w:t>
            </w: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a) Titres et matières premières prêtés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77"/>
        <w:gridCol w:w="20"/>
        <w:gridCol w:w="1359"/>
        <w:gridCol w:w="1359"/>
        <w:gridCol w:w="1379"/>
        <w:gridCol w:w="1359"/>
        <w:gridCol w:w="1379"/>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gridSpan w:val="2"/>
            <w:tcBorders>
              <w:bottom w:val="single" w:sz="4" w:space="0" w:color="232323"/>
              <w:right w:val="none" w:sz="0" w:space="0" w:color="auto"/>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de l'Actif Net (*)</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pStyle w:val="TableNote"/>
        <w:pBdr>
          <w:top w:val="none" w:sz="0" w:space="0" w:color="auto"/>
          <w:bottom w:val="none" w:sz="0" w:space="0" w:color="auto"/>
        </w:pBdr>
        <w:bidi w:val="0"/>
        <w:spacing w:before="100" w:after="24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 hors trésorerie et équivalent de trésorerie</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b) Actifs engagés pour chaque type d’opérations de financement sur titres et TRS exprimés en valeur absolue</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174 999 999,73</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de l'Actif Net</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12,06</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c) 10 principaux émetteurs de garanties reçues (hors cash) pour tous les types d'opérations de financement</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68"/>
        <w:gridCol w:w="1374"/>
        <w:gridCol w:w="1355"/>
        <w:gridCol w:w="1375"/>
        <w:gridCol w:w="1355"/>
        <w:gridCol w:w="139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pPr>
              <w:pStyle w:val="Tab1FirstColNonGrasBordureUp"/>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BELGIUM GOVERNMENT BOND</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pPr>
              <w:pStyle w:val="Tab1MiddleColNonGrasBordureUp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pPr>
              <w:pStyle w:val="Tab1MiddleColNonGrasBordureUp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115 541 505,23</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40"/>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BELGIQUE</w:t>
            </w: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pPr>
              <w:pStyle w:val="TotalTabMiddleColNoBordureUp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pPr>
              <w:pStyle w:val="TotalTabMiddleColNoBordureUp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2"/>
        </w:trPr>
        <w:tc>
          <w:tcPr>
            <w:tcW w:w="2780" w:type="dxa"/>
            <w:tcBorders>
              <w:top w:val="single" w:sz="4" w:space="0" w:color="000000"/>
              <w:left w:val="single" w:sz="4" w:space="0" w:color="000000"/>
            </w:tcBorders>
            <w:tcMar>
              <w:top w:w="0" w:type="dxa"/>
              <w:left w:w="0" w:type="dxa"/>
              <w:bottom w:w="22" w:type="dxa"/>
              <w:right w:w="0" w:type="dxa"/>
            </w:tcMar>
            <w:vAlign w:val="center"/>
          </w:tcPr>
          <w:p>
            <w:pPr>
              <w:pStyle w:val="Tab1FirstColNonGrasBordureUp"/>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PORTUGAL OBRIGACOES DO TESOURO OT</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pPr>
              <w:pStyle w:val="Tab1MiddleColNonGrasBordureUp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pPr>
              <w:pStyle w:val="Tab1MiddleColNonGrasBordureUp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59 437 806,07</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40"/>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PORTUGAL</w:t>
            </w: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pPr>
              <w:pStyle w:val="TotalTabMiddleColNoBordureUp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pPr>
              <w:pStyle w:val="TotalTabMiddleColNoBordureUp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d) 10 principales contreparties en valeur absolue des actifs et des passifs sans compensation</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68"/>
        <w:gridCol w:w="1374"/>
        <w:gridCol w:w="1355"/>
        <w:gridCol w:w="1375"/>
        <w:gridCol w:w="1355"/>
        <w:gridCol w:w="139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pPr>
              <w:pStyle w:val="Tab1FirstColNonGrasBordureUp"/>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BNP PARIBAS FRANCE</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115 000 000,00</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Last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pPr>
              <w:pStyle w:val="Tab1FirstColNonGrasBordureUp"/>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 BANQUE POSTALE</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59 999 999,73</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Last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e) Type et qualité des garanties (collatéral)</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7"/>
        <w:gridCol w:w="1355"/>
        <w:gridCol w:w="1375"/>
        <w:gridCol w:w="1355"/>
        <w:gridCol w:w="1375"/>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Type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pPr>
              <w:pStyle w:val="EnteteTabLast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Actions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Obligations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174 979 311,30</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TCN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Cash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789 635,59</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Rating</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ectPr>
          <w:headerReference w:type="default" r:id="rId22"/>
          <w:footerReference w:type="default" r:id="rId23"/>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9"/>
        <w:gridCol w:w="1355"/>
        <w:gridCol w:w="1376"/>
        <w:gridCol w:w="1356"/>
        <w:gridCol w:w="1376"/>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800" w:type="dxa"/>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TRS</w:t>
            </w:r>
          </w:p>
        </w:tc>
      </w:tr>
    </w:tbl>
    <w:p>
      <w:pPr>
        <w:spacing w:after="150" w:line="240" w:lineRule="exact"/>
        <w:rPr>
          <w:sz w:val="24"/>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7"/>
        <w:gridCol w:w="1355"/>
        <w:gridCol w:w="1375"/>
        <w:gridCol w:w="1355"/>
        <w:gridCol w:w="1375"/>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Monnaie de la garantie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pPr>
              <w:pStyle w:val="EnteteTabLast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789 635,59</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174 979 311,30</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f) Règlement et compensation des contrats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Triparties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Contrepartie centrale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Bilatéraux</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X</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g) Échéance de la garantie ventilée en fonction des tranches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174 979 311,30</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h) Échéance des opérations de financement sur titres et TRS ventilée en fonction des tranches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115 000 000,00</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59 999 999,73</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 Données sur la réutilisation des garanties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 maximal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 utilisé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74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Revenus pour l'OPC suite au réinvestissement des garanties espèces en euros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j) Données sur la conservation des garanties reçues par l'OPC</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77"/>
        <w:gridCol w:w="20"/>
        <w:gridCol w:w="1359"/>
        <w:gridCol w:w="1359"/>
        <w:gridCol w:w="1379"/>
        <w:gridCol w:w="1359"/>
        <w:gridCol w:w="1379"/>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gridSpan w:val="2"/>
            <w:tcBorders>
              <w:bottom w:val="single" w:sz="4" w:space="0" w:color="232323"/>
              <w:right w:val="none" w:sz="0" w:space="0" w:color="auto"/>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Caceis Bank</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Titres</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174 979 311,30</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Cash</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ectPr>
          <w:headerReference w:type="default" r:id="rId24"/>
          <w:footerReference w:type="default" r:id="rId25"/>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9"/>
        <w:gridCol w:w="1355"/>
        <w:gridCol w:w="1376"/>
        <w:gridCol w:w="1356"/>
        <w:gridCol w:w="1376"/>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800" w:type="dxa"/>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TRS</w:t>
            </w: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k) Données sur la conservation des garanties fournies par l'OPC</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Cash</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l) Données sur les revenus et les coûts ventilés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8"/>
        <w:gridCol w:w="1355"/>
        <w:gridCol w:w="1375"/>
        <w:gridCol w:w="1355"/>
        <w:gridCol w:w="1375"/>
        <w:gridCol w:w="137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Revenus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1 479 566,29</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Coûts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-1 635,59</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spacing w:after="0" w:line="150" w:lineRule="exact"/>
        <w:rPr>
          <w:sz w:val="15"/>
        </w:rPr>
      </w:pPr>
      <w:r>
        <w:t xml:space="preserve"> </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D064076FF8E9A5E39DB3283D017736F1 "" </w:instrText>
      </w:r>
      <w:r>
        <w:rPr>
          <w:rFonts w:ascii="Arial" w:eastAsia="Arial" w:hAnsi="Arial" w:cs="Arial"/>
          <w:b w:val="0"/>
          <w:i w:val="0"/>
          <w:strike w:val="0"/>
          <w:color w:val="000000"/>
          <w:sz w:val="0"/>
          <w:u w:val="none"/>
          <w:vertAlign w:val="baseline"/>
          <w:lang w:val="fr-FR"/>
        </w:rPr>
        <w:fldChar w:fldCharType="separate"/>
      </w:r>
      <w:bookmarkStart w:id="37" w:name="D064076FF8E9A5E39DB3283D017736F1"/>
      <w:bookmarkEnd w:id="37"/>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38" w:name="e) Données Type et qualité des garanties"/>
      <w:bookmarkEnd w:id="38"/>
      <w:r>
        <w:rPr>
          <w:rFonts w:ascii="Arial" w:eastAsia="Arial" w:hAnsi="Arial" w:cs="Arial"/>
          <w:b/>
          <w:i w:val="0"/>
          <w:strike w:val="0"/>
          <w:color w:val="232323"/>
          <w:sz w:val="20"/>
          <w:u w:val="none"/>
          <w:vertAlign w:val="baseline"/>
          <w:lang w:val="fr-FR"/>
        </w:rPr>
        <w:t>e) Données Type et qualité des garanties (collatéral)</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9" w:name="BK_2594B8E69B50549C6ECF0E1380167700"/>
      <w:bookmarkEnd w:id="3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CF0CF491486FC6EB4CB6261158D099FF "" </w:instrText>
      </w:r>
      <w:r>
        <w:rPr>
          <w:rFonts w:ascii="Arial" w:eastAsia="Arial" w:hAnsi="Arial" w:cs="Arial"/>
          <w:b w:val="0"/>
          <w:i w:val="0"/>
          <w:strike w:val="0"/>
          <w:color w:val="000000"/>
          <w:sz w:val="0"/>
          <w:u w:val="none"/>
          <w:vertAlign w:val="baseline"/>
          <w:lang w:val="fr-FR"/>
        </w:rPr>
        <w:fldChar w:fldCharType="separate"/>
      </w:r>
      <w:bookmarkStart w:id="40" w:name="CF0CF491486FC6EB4CB6261158D099FF"/>
      <w:bookmarkEnd w:id="40"/>
      <w:r>
        <w:rPr>
          <w:rFonts w:ascii="Arial" w:eastAsia="Arial" w:hAnsi="Arial" w:cs="Arial"/>
          <w:b w:val="0"/>
          <w:i w:val="0"/>
          <w:strike w:val="0"/>
          <w:color w:val="000000"/>
          <w:sz w:val="0"/>
          <w:u w:val="none"/>
          <w:vertAlign w:val="baseline"/>
          <w:lang w:val="fr-FR"/>
        </w:rPr>
        <w:fldChar w:fldCharType="end"/>
      </w:r>
    </w:p>
    <w:p w:rsidR="00CD0EFB" w:rsidRPr="00777047" w:rsidP="00777047">
      <w:pPr>
        <w:spacing w:after="0" w:line="240" w:lineRule="auto"/>
        <w:ind w:right="0"/>
        <w:jc w:val="both"/>
        <w:rPr>
          <w:rFonts w:ascii="Arial" w:eastAsia="Arial" w:hAnsi="Arial" w:cs="Arial"/>
          <w:color w:val="232323"/>
          <w:sz w:val="20"/>
          <w:szCs w:val="20"/>
          <w:lang w:val="fr-FR"/>
        </w:rPr>
      </w:pPr>
      <w:bookmarkStart w:id="41" w:name="c8cf7193a03e45324fe9b740d555ea9d8_START"/>
      <w:bookmarkEnd w:id="41"/>
      <w:r w:rsidRPr="00F06268" w:rsidR="00FA2962">
        <w:rPr>
          <w:rFonts w:ascii="Arial" w:eastAsia="Arial" w:hAnsi="Arial" w:cs="Arial"/>
          <w:color w:val="232323"/>
          <w:sz w:val="20"/>
          <w:szCs w:val="20"/>
          <w:lang w:val="fr-FR"/>
        </w:rPr>
        <w:t>BFT Investment Managers veille à n’accepter que des titres d’une haute qualité de crédit et veille à rehausser la valeur de ses garanties en appliquant des décotes de valorisation sur les titres reçus. Ce dispositif est régu</w:t>
      </w:r>
      <w:r w:rsidR="00777047">
        <w:rPr>
          <w:rFonts w:ascii="Arial" w:eastAsia="Arial" w:hAnsi="Arial" w:cs="Arial"/>
          <w:color w:val="232323"/>
          <w:sz w:val="20"/>
          <w:szCs w:val="20"/>
          <w:lang w:val="fr-FR"/>
        </w:rPr>
        <w:t>lièrement revu et remis à jour.</w:t>
      </w:r>
      <w:bookmarkStart w:id="42" w:name="c8cf7193a03e45324fe9b740d555ea9d8_END"/>
      <w:bookmarkEnd w:id="4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C4B9599CE02679241FBB09B38C267BC9 "" </w:instrText>
      </w:r>
      <w:r>
        <w:rPr>
          <w:rFonts w:ascii="Arial" w:eastAsia="Arial" w:hAnsi="Arial" w:cs="Arial"/>
          <w:b w:val="0"/>
          <w:i w:val="0"/>
          <w:strike w:val="0"/>
          <w:color w:val="000000"/>
          <w:sz w:val="0"/>
          <w:u w:val="none"/>
          <w:vertAlign w:val="baseline"/>
          <w:lang w:val="fr-FR"/>
        </w:rPr>
        <w:fldChar w:fldCharType="separate"/>
      </w:r>
      <w:bookmarkStart w:id="43" w:name="C4B9599CE02679241FBB09B38C267BC9"/>
      <w:bookmarkEnd w:id="43"/>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44" w:name="i) Données sur la réutilisation des gara"/>
      <w:bookmarkEnd w:id="44"/>
      <w:r>
        <w:rPr>
          <w:rFonts w:ascii="Arial" w:eastAsia="Arial" w:hAnsi="Arial" w:cs="Arial"/>
          <w:b/>
          <w:i w:val="0"/>
          <w:strike w:val="0"/>
          <w:color w:val="232323"/>
          <w:sz w:val="20"/>
          <w:u w:val="none"/>
          <w:vertAlign w:val="baseline"/>
          <w:lang w:val="fr-FR"/>
        </w:rPr>
        <w:t>i) Données sur la réutilisation des garanties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5" w:name="BK_0F461562490689884C1952B5C5C218E2"/>
      <w:bookmarkEnd w:id="4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0801D0AA2DFEC97FC2FFB11348DD20BF "" </w:instrText>
      </w:r>
      <w:r>
        <w:rPr>
          <w:rFonts w:ascii="Arial" w:eastAsia="Arial" w:hAnsi="Arial" w:cs="Arial"/>
          <w:b w:val="0"/>
          <w:i w:val="0"/>
          <w:strike w:val="0"/>
          <w:color w:val="000000"/>
          <w:sz w:val="0"/>
          <w:u w:val="none"/>
          <w:vertAlign w:val="baseline"/>
          <w:lang w:val="fr-FR"/>
        </w:rPr>
        <w:fldChar w:fldCharType="separate"/>
      </w:r>
      <w:bookmarkStart w:id="46" w:name="0801D0AA2DFEC97FC2FFB11348DD20BF"/>
      <w:bookmarkEnd w:id="46"/>
      <w:r>
        <w:rPr>
          <w:rFonts w:ascii="Arial" w:eastAsia="Arial" w:hAnsi="Arial" w:cs="Arial"/>
          <w:b w:val="0"/>
          <w:i w:val="0"/>
          <w:strike w:val="0"/>
          <w:color w:val="000000"/>
          <w:sz w:val="0"/>
          <w:u w:val="none"/>
          <w:vertAlign w:val="baseline"/>
          <w:lang w:val="fr-FR"/>
        </w:rPr>
        <w:fldChar w:fldCharType="end"/>
      </w:r>
    </w:p>
    <w:p w:rsidR="0042331D" w:rsidRPr="00F06268" w:rsidP="0042331D">
      <w:pPr>
        <w:spacing w:after="0" w:line="240" w:lineRule="auto"/>
        <w:ind w:right="0"/>
        <w:jc w:val="both"/>
        <w:rPr>
          <w:rFonts w:ascii="Arial" w:eastAsia="Arial" w:hAnsi="Arial" w:cs="Arial"/>
          <w:color w:val="232323"/>
          <w:sz w:val="20"/>
          <w:szCs w:val="20"/>
          <w:lang w:val="fr-FR"/>
        </w:rPr>
      </w:pPr>
      <w:bookmarkStart w:id="47" w:name="c5a3766131de3094a0626e69de020b4b3_START"/>
      <w:bookmarkEnd w:id="47"/>
      <w:r w:rsidRPr="00F06268">
        <w:rPr>
          <w:rFonts w:ascii="Arial" w:eastAsia="Arial" w:hAnsi="Arial" w:cs="Arial"/>
          <w:color w:val="232323"/>
          <w:sz w:val="20"/>
          <w:szCs w:val="20"/>
          <w:lang w:val="fr-FR"/>
        </w:rPr>
        <w:t xml:space="preserve">« La règlementation applicable aux OPCVM interdit la réutilisation par ce dernier des garanties reçues en titres. Les garanties reçues en espèces sont réinvesties dans les 5 supports suivants : </w:t>
      </w:r>
    </w:p>
    <w:p w:rsidR="0042331D" w:rsidRPr="00F06268" w:rsidP="001B1EB4">
      <w:pPr>
        <w:tabs>
          <w:tab w:val="left" w:pos="426"/>
        </w:tabs>
        <w:spacing w:after="0" w:line="240" w:lineRule="auto"/>
        <w:ind w:right="0"/>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r>
      <w:bookmarkStart w:id="48" w:name="_GoBack"/>
      <w:r w:rsidRPr="00F06268">
        <w:rPr>
          <w:rFonts w:ascii="Arial" w:eastAsia="Arial" w:hAnsi="Arial" w:cs="Arial"/>
          <w:color w:val="232323"/>
          <w:sz w:val="20"/>
          <w:szCs w:val="20"/>
          <w:lang w:val="fr-FR"/>
        </w:rPr>
        <w:t>OPCVM monétaires court terme (tels que définis par l’ESMA dans ses orientations sur les fonds cotés et autres questions liées aux OPCVM)</w:t>
      </w:r>
    </w:p>
    <w:p w:rsidR="0042331D" w:rsidRPr="00F06268" w:rsidP="001B1EB4">
      <w:pPr>
        <w:tabs>
          <w:tab w:val="left" w:pos="426"/>
        </w:tabs>
        <w:spacing w:after="0" w:line="240" w:lineRule="auto"/>
        <w:ind w:right="0"/>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Dépôt</w:t>
      </w:r>
    </w:p>
    <w:p w:rsidR="0042331D" w:rsidRPr="00F06268" w:rsidP="001B1EB4">
      <w:pPr>
        <w:tabs>
          <w:tab w:val="left" w:pos="426"/>
        </w:tabs>
        <w:spacing w:after="0" w:line="240" w:lineRule="auto"/>
        <w:ind w:right="0"/>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 xml:space="preserve">Titres d`Etats Long Terme de haute qualité </w:t>
      </w:r>
    </w:p>
    <w:p w:rsidR="0042331D" w:rsidRPr="00F06268" w:rsidP="001B1EB4">
      <w:pPr>
        <w:tabs>
          <w:tab w:val="left" w:pos="426"/>
        </w:tabs>
        <w:spacing w:after="0" w:line="240" w:lineRule="auto"/>
        <w:ind w:right="0"/>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 xml:space="preserve">Titres d`Etats Court Terme de haute qualité </w:t>
      </w:r>
    </w:p>
    <w:p w:rsidR="0042331D" w:rsidRPr="00F06268" w:rsidP="001B1EB4">
      <w:pPr>
        <w:tabs>
          <w:tab w:val="left" w:pos="426"/>
        </w:tabs>
        <w:spacing w:after="0" w:line="240" w:lineRule="auto"/>
        <w:ind w:right="0"/>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Prises en pension »</w:t>
      </w:r>
    </w:p>
    <w:bookmarkEnd w:id="48"/>
    <w:p w:rsidR="0042331D" w:rsidRPr="00F06268" w:rsidP="0042331D">
      <w:pPr>
        <w:spacing w:after="0" w:line="240" w:lineRule="auto"/>
        <w:ind w:right="0"/>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Le montant maximal de réutilisation est de 0% pour les titres et 100% du montant reçu pour les espèces.</w:t>
      </w:r>
    </w:p>
    <w:p w:rsidR="003A565B" w:rsidRPr="00F06021" w:rsidP="00F06021">
      <w:pPr>
        <w:spacing w:after="0" w:line="240" w:lineRule="auto"/>
        <w:ind w:right="0"/>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 xml:space="preserve">Le montant utilisé est de 0% pour les titres </w:t>
      </w:r>
      <w:r w:rsidR="00F06021">
        <w:rPr>
          <w:rFonts w:ascii="Arial" w:eastAsia="Arial" w:hAnsi="Arial" w:cs="Arial"/>
          <w:color w:val="232323"/>
          <w:sz w:val="20"/>
          <w:szCs w:val="20"/>
          <w:lang w:val="fr-FR"/>
        </w:rPr>
        <w:t>et 100% pour les espèces reçus.</w:t>
      </w:r>
      <w:bookmarkStart w:id="49" w:name="c5a3766131de3094a0626e69de020b4b3_END"/>
      <w:bookmarkEnd w:id="4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43A9BEE0075D2B7DFC7440390F7AFE3D "" </w:instrText>
      </w:r>
      <w:r>
        <w:rPr>
          <w:rFonts w:ascii="Arial" w:eastAsia="Arial" w:hAnsi="Arial" w:cs="Arial"/>
          <w:b w:val="0"/>
          <w:i w:val="0"/>
          <w:strike w:val="0"/>
          <w:color w:val="000000"/>
          <w:sz w:val="0"/>
          <w:u w:val="none"/>
          <w:vertAlign w:val="baseline"/>
          <w:lang w:val="fr-FR"/>
        </w:rPr>
        <w:fldChar w:fldCharType="separate"/>
      </w:r>
      <w:bookmarkStart w:id="50" w:name="43A9BEE0075D2B7DFC7440390F7AFE3D"/>
      <w:bookmarkEnd w:id="50"/>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51" w:name="k) Données sur la conservation des garan"/>
      <w:bookmarkEnd w:id="51"/>
      <w:r>
        <w:rPr>
          <w:rFonts w:ascii="Arial" w:eastAsia="Arial" w:hAnsi="Arial" w:cs="Arial"/>
          <w:b/>
          <w:i w:val="0"/>
          <w:strike w:val="0"/>
          <w:color w:val="232323"/>
          <w:sz w:val="20"/>
          <w:u w:val="none"/>
          <w:vertAlign w:val="baseline"/>
          <w:lang w:val="fr-FR"/>
        </w:rPr>
        <w:t>k) Données sur la conservation des garanties fournies par l'OPC</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2" w:name="BK_E2392A88410810A57F0345885C3674BB"/>
      <w:bookmarkEnd w:id="5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B66E21153A732523E265DB7050E8B668 "" </w:instrText>
      </w:r>
      <w:r>
        <w:rPr>
          <w:rFonts w:ascii="Arial" w:eastAsia="Arial" w:hAnsi="Arial" w:cs="Arial"/>
          <w:b w:val="0"/>
          <w:i w:val="0"/>
          <w:strike w:val="0"/>
          <w:color w:val="000000"/>
          <w:sz w:val="0"/>
          <w:u w:val="none"/>
          <w:vertAlign w:val="baseline"/>
          <w:lang w:val="fr-FR"/>
        </w:rPr>
        <w:fldChar w:fldCharType="separate"/>
      </w:r>
      <w:bookmarkStart w:id="53" w:name="B66E21153A732523E265DB7050E8B668"/>
      <w:bookmarkEnd w:id="53"/>
      <w:r>
        <w:rPr>
          <w:rFonts w:ascii="Arial" w:eastAsia="Arial" w:hAnsi="Arial" w:cs="Arial"/>
          <w:b w:val="0"/>
          <w:i w:val="0"/>
          <w:strike w:val="0"/>
          <w:color w:val="000000"/>
          <w:sz w:val="0"/>
          <w:u w:val="none"/>
          <w:vertAlign w:val="baseline"/>
          <w:lang w:val="fr-FR"/>
        </w:rPr>
        <w:fldChar w:fldCharType="end"/>
      </w:r>
    </w:p>
    <w:p w:rsidR="00F82154" w:rsidRPr="002824CB" w:rsidP="002824CB">
      <w:pPr>
        <w:spacing w:after="0" w:line="240" w:lineRule="auto"/>
        <w:ind w:right="0"/>
        <w:jc w:val="both"/>
        <w:rPr>
          <w:rFonts w:ascii="Arial" w:eastAsia="Arial" w:hAnsi="Arial" w:cs="Arial"/>
          <w:color w:val="232323"/>
          <w:sz w:val="20"/>
          <w:szCs w:val="20"/>
          <w:lang w:val="fr-FR"/>
        </w:rPr>
      </w:pPr>
      <w:bookmarkStart w:id="54" w:name="c2ff0e5f99852166aa308d236cbdc66fc_START"/>
      <w:bookmarkEnd w:id="54"/>
      <w:r w:rsidRPr="00F06268" w:rsidR="00FC0743">
        <w:rPr>
          <w:rFonts w:ascii="Arial" w:eastAsia="Arial" w:hAnsi="Arial" w:cs="Arial"/>
          <w:color w:val="232323"/>
          <w:sz w:val="20"/>
          <w:szCs w:val="20"/>
          <w:lang w:val="fr-FR"/>
        </w:rPr>
        <w:t>BFT Investment Managers  veille à travailler avec un nombre réduit de dépositaires, sélectionnés pour s’assurer de la bonne conservatio</w:t>
      </w:r>
      <w:r w:rsidR="002824CB">
        <w:rPr>
          <w:rFonts w:ascii="Arial" w:eastAsia="Arial" w:hAnsi="Arial" w:cs="Arial"/>
          <w:color w:val="232323"/>
          <w:sz w:val="20"/>
          <w:szCs w:val="20"/>
          <w:lang w:val="fr-FR"/>
        </w:rPr>
        <w:t xml:space="preserve">n des titres reçus et du cash. </w:t>
      </w:r>
      <w:bookmarkStart w:id="55" w:name="c2ff0e5f99852166aa308d236cbdc66fc_END"/>
      <w:bookmarkEnd w:id="5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98BC0F4B34F69EE68D4D5CA77751BB02 "" </w:instrText>
      </w:r>
      <w:r>
        <w:rPr>
          <w:rFonts w:ascii="Arial" w:eastAsia="Arial" w:hAnsi="Arial" w:cs="Arial"/>
          <w:b w:val="0"/>
          <w:i w:val="0"/>
          <w:strike w:val="0"/>
          <w:color w:val="000000"/>
          <w:sz w:val="0"/>
          <w:u w:val="none"/>
          <w:vertAlign w:val="baseline"/>
          <w:lang w:val="fr-FR"/>
        </w:rPr>
        <w:fldChar w:fldCharType="separate"/>
      </w:r>
      <w:bookmarkStart w:id="56" w:name="98BC0F4B34F69EE68D4D5CA77751BB02"/>
      <w:bookmarkEnd w:id="56"/>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57" w:name="l) Données sur les revenus et les coûts "/>
      <w:bookmarkEnd w:id="57"/>
      <w:r>
        <w:rPr>
          <w:rFonts w:ascii="Arial" w:eastAsia="Arial" w:hAnsi="Arial" w:cs="Arial"/>
          <w:b/>
          <w:i w:val="0"/>
          <w:strike w:val="0"/>
          <w:color w:val="232323"/>
          <w:sz w:val="20"/>
          <w:u w:val="none"/>
          <w:vertAlign w:val="baseline"/>
          <w:lang w:val="fr-FR"/>
        </w:rPr>
        <w:t>l) Données sur les revenus et les coûts ventilés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8" w:name="BK_4C86CB0D150317B4C0FF0098162C947F"/>
      <w:bookmarkEnd w:id="58"/>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3EABEF86EE5B05AF32135A92AEF973CE "" </w:instrText>
      </w:r>
      <w:r>
        <w:rPr>
          <w:rFonts w:ascii="Arial" w:eastAsia="Arial" w:hAnsi="Arial" w:cs="Arial"/>
          <w:b w:val="0"/>
          <w:i w:val="0"/>
          <w:strike w:val="0"/>
          <w:color w:val="000000"/>
          <w:sz w:val="0"/>
          <w:u w:val="none"/>
          <w:vertAlign w:val="baseline"/>
          <w:lang w:val="fr-FR"/>
        </w:rPr>
        <w:fldChar w:fldCharType="separate"/>
      </w:r>
      <w:bookmarkStart w:id="59" w:name="3EABEF86EE5B05AF32135A92AEF973CE"/>
      <w:bookmarkEnd w:id="59"/>
      <w:r>
        <w:rPr>
          <w:rFonts w:ascii="Arial" w:eastAsia="Arial" w:hAnsi="Arial" w:cs="Arial"/>
          <w:b w:val="0"/>
          <w:i w:val="0"/>
          <w:strike w:val="0"/>
          <w:color w:val="000000"/>
          <w:sz w:val="0"/>
          <w:u w:val="none"/>
          <w:vertAlign w:val="baseline"/>
          <w:lang w:val="fr-FR"/>
        </w:rPr>
        <w:fldChar w:fldCharType="end"/>
      </w:r>
    </w:p>
    <w:p w:rsidR="005223D0" w:rsidRPr="00F06268" w:rsidP="005223D0">
      <w:pPr>
        <w:spacing w:after="0" w:line="240" w:lineRule="auto"/>
        <w:ind w:right="0"/>
        <w:jc w:val="both"/>
        <w:rPr>
          <w:rFonts w:ascii="Arial" w:eastAsia="Arial" w:hAnsi="Arial" w:cs="Arial"/>
          <w:color w:val="232323"/>
          <w:sz w:val="20"/>
          <w:szCs w:val="20"/>
          <w:lang w:val="fr-FR"/>
        </w:rPr>
      </w:pPr>
      <w:bookmarkStart w:id="60" w:name="cde79fd888c832306adc5d8297e16146d_START"/>
      <w:bookmarkEnd w:id="60"/>
      <w:r w:rsidRPr="00F06268">
        <w:rPr>
          <w:rFonts w:ascii="Arial" w:eastAsia="Arial" w:hAnsi="Arial" w:cs="Arial"/>
          <w:color w:val="232323"/>
          <w:sz w:val="20"/>
          <w:szCs w:val="20"/>
          <w:lang w:val="fr-FR"/>
        </w:rPr>
        <w:t xml:space="preserve">Opérations de prêts de titres et de mise en pension : </w:t>
      </w:r>
    </w:p>
    <w:p w:rsidR="00192A59" w:rsidRPr="0030702B" w:rsidP="0030702B">
      <w:pPr>
        <w:spacing w:after="0" w:line="240" w:lineRule="auto"/>
        <w:ind w:right="0"/>
        <w:jc w:val="both"/>
        <w:rPr>
          <w:rFonts w:ascii="Arial" w:eastAsia="Arial" w:hAnsi="Arial" w:cs="Arial"/>
          <w:color w:val="232323"/>
          <w:sz w:val="20"/>
          <w:szCs w:val="20"/>
          <w:lang w:val="fr-FR"/>
        </w:rPr>
      </w:pPr>
      <w:r w:rsidRPr="00F06268" w:rsidR="005223D0">
        <w:rPr>
          <w:rFonts w:ascii="Arial" w:eastAsia="Arial" w:hAnsi="Arial" w:cs="Arial"/>
          <w:color w:val="232323"/>
          <w:sz w:val="20"/>
          <w:szCs w:val="20"/>
          <w:lang w:val="fr-FR"/>
        </w:rPr>
        <w:t>Dans le cadre des opérations de prêts de titres et de mise en pension, BFT Investment Managers, a confié à Amundi Intermédiation, pour le compte de l'OPC, les réalisations suivantes : la sélection des contreparties, la demande de mise en place des contrats de marché, le contrôle du risque de contrepartie, le suivi qualitatif et quantitatif de la collatéralisation (contrôles de dispersion, des notations, des liquidités), des pensions et prêts de titres Les revenus résultant de ces opérations sont restitués à l'OPC. Ces opérations engendrent des coûts qui sont supportés par l'OPC. La facturation par Amundi Intermédiation ne peut excéder 50% des reve</w:t>
      </w:r>
      <w:r w:rsidR="0030702B">
        <w:rPr>
          <w:rFonts w:ascii="Arial" w:eastAsia="Arial" w:hAnsi="Arial" w:cs="Arial"/>
          <w:color w:val="232323"/>
          <w:sz w:val="20"/>
          <w:szCs w:val="20"/>
          <w:lang w:val="fr-FR"/>
        </w:rPr>
        <w:t>nus générés par ces opérations.</w:t>
      </w:r>
    </w:p>
    <w:p>
      <w:pPr>
        <w:pStyle w:val="ContributionStart"/>
        <w:pBdr>
          <w:top w:val="none" w:sz="0" w:space="0" w:color="auto"/>
        </w:pBdr>
        <w:bidi w:val="0"/>
        <w:spacing w:before="0" w:after="60" w:line="240" w:lineRule="auto"/>
        <w:ind w:left="0" w:right="0"/>
        <w:jc w:val="both"/>
        <w:rPr>
          <w:rFonts w:ascii="Arial" w:eastAsia="Arial" w:hAnsi="Arial" w:cs="Arial"/>
          <w:b w:val="0"/>
          <w:i w:val="0"/>
          <w:strike w:val="0"/>
          <w:color w:val="232323"/>
          <w:sz w:val="12"/>
          <w:u w:val="none"/>
          <w:vertAlign w:val="baseline"/>
          <w:lang w:val="fr-FR"/>
        </w:rPr>
        <w:sectPr>
          <w:headerReference w:type="default" r:id="rId26"/>
          <w:footerReference w:type="default" r:id="rId27"/>
          <w:pgSz w:w="11900" w:h="16840"/>
          <w:pgMar w:top="2154" w:right="1134" w:bottom="1134" w:left="1134" w:header="400" w:footer="400"/>
          <w:cols w:space="720"/>
        </w:sectPr>
      </w:pPr>
      <w:bookmarkStart w:id="61" w:name="cde79fd888c832306adc5d8297e16146d_END"/>
      <w:bookmarkEnd w:id="6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BFBDA79F3B8B8F0ACF25F4189BEF57E2 "" </w:instrText>
      </w:r>
      <w:r>
        <w:rPr>
          <w:rFonts w:ascii="Arial" w:eastAsia="Arial" w:hAnsi="Arial" w:cs="Arial"/>
          <w:b w:val="0"/>
          <w:i w:val="0"/>
          <w:strike w:val="0"/>
          <w:color w:val="000000"/>
          <w:sz w:val="0"/>
          <w:u w:val="none"/>
          <w:vertAlign w:val="baseline"/>
          <w:lang w:val="fr-FR"/>
        </w:rPr>
        <w:fldChar w:fldCharType="separate"/>
      </w:r>
      <w:bookmarkStart w:id="62" w:name="BFBDA79F3B8B8F0ACF25F4189BEF57E2"/>
      <w:bookmarkEnd w:id="6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63" w:name="Inventaire des actifs et passifs"/>
      <w:bookmarkEnd w:id="63"/>
      <w:r>
        <w:rPr>
          <w:rFonts w:ascii="Arial" w:eastAsia="Arial" w:hAnsi="Arial" w:cs="Arial"/>
          <w:b/>
          <w:i w:val="0"/>
          <w:strike w:val="0"/>
          <w:color w:val="232323"/>
          <w:sz w:val="36"/>
          <w:u w:val="none"/>
          <w:vertAlign w:val="baseline"/>
          <w:lang w:val="fr-FR"/>
        </w:rPr>
        <w:t>Inventaire des actifs et passifs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4" w:name="BK_A15F88A7EC1B9E0062D18CE9F151DF6A"/>
      <w:bookmarkEnd w:id="64"/>
      <w:r>
        <w:rPr>
          <w:rFonts w:ascii="Arial" w:eastAsia="Arial" w:hAnsi="Arial" w:cs="Arial"/>
          <w:b w:val="0"/>
          <w:i w:val="0"/>
          <w:strike w:val="0"/>
          <w:color w:val="FFFFFF"/>
          <w:sz w:val="2"/>
          <w:u w:val="none"/>
          <w:vertAlign w:val="baseline"/>
          <w:lang w:val="fr-FR"/>
        </w:rPr>
        <w:t>Inventaire des actifs et passifs</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EA95969186609F722F4B4ADA0EDECDD4 "" </w:instrText>
      </w:r>
      <w:r>
        <w:rPr>
          <w:rFonts w:ascii="Arial" w:eastAsia="Arial" w:hAnsi="Arial" w:cs="Arial"/>
          <w:b w:val="0"/>
          <w:i w:val="0"/>
          <w:strike w:val="0"/>
          <w:color w:val="000000"/>
          <w:sz w:val="0"/>
          <w:u w:val="none"/>
          <w:vertAlign w:val="baseline"/>
          <w:lang w:val="fr-FR"/>
        </w:rPr>
        <w:fldChar w:fldCharType="separate"/>
      </w:r>
      <w:bookmarkStart w:id="65" w:name="EA95969186609F722F4B4ADA0EDECDD4"/>
      <w:bookmarkEnd w:id="6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9F1340B7C072857BE21A92D624DE2B41 "" </w:instrText>
      </w:r>
      <w:r>
        <w:rPr>
          <w:rFonts w:ascii="Arial" w:eastAsia="Arial" w:hAnsi="Arial" w:cs="Arial"/>
          <w:b w:val="0"/>
          <w:i w:val="0"/>
          <w:strike w:val="0"/>
          <w:color w:val="000000"/>
          <w:sz w:val="0"/>
          <w:u w:val="none"/>
          <w:vertAlign w:val="baseline"/>
          <w:lang w:val="fr-FR"/>
        </w:rPr>
        <w:fldChar w:fldCharType="separate"/>
      </w:r>
      <w:bookmarkStart w:id="66" w:name="9F1340B7C072857BE21A92D624DE2B41"/>
      <w:bookmarkEnd w:id="66"/>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67" w:name="Inventaire des éléments de bilan"/>
      <w:bookmarkEnd w:id="67"/>
      <w:r>
        <w:rPr>
          <w:rFonts w:ascii="Arial" w:eastAsia="Arial" w:hAnsi="Arial" w:cs="Arial"/>
          <w:b/>
          <w:i w:val="0"/>
          <w:strike w:val="0"/>
          <w:color w:val="232323"/>
          <w:sz w:val="24"/>
          <w:u w:val="none"/>
          <w:vertAlign w:val="baseline"/>
          <w:lang w:val="fr-FR"/>
        </w:rPr>
        <w:t>Inventaire des éléments de bilan</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8" w:name="BK_813BDAE825FFA9309F289C5416F9B7EB"/>
      <w:bookmarkEnd w:id="68"/>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A829C59C3A08C1E3E6A8DE99DBAE579D "" </w:instrText>
      </w:r>
      <w:r>
        <w:rPr>
          <w:rFonts w:ascii="Arial" w:eastAsia="Arial" w:hAnsi="Arial" w:cs="Arial"/>
          <w:b w:val="0"/>
          <w:i w:val="0"/>
          <w:strike w:val="0"/>
          <w:color w:val="000000"/>
          <w:sz w:val="0"/>
          <w:u w:val="none"/>
          <w:vertAlign w:val="baseline"/>
          <w:lang w:val="fr-FR"/>
        </w:rPr>
        <w:fldChar w:fldCharType="separate"/>
      </w:r>
      <w:bookmarkStart w:id="69" w:name="A829C59C3A08C1E3E6A8DE99DBAE579D"/>
      <w:bookmarkEnd w:id="6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1 121 943 350,62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77,35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1 121 943 350,62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77,35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5 775 906,80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ASS GENERALI 3.212% 15-01-29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2 011 440,07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SWISSCOM FINANCE BV 0.375% 14-11-28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1 862 185,48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SWISSCOM FINANCE BV E3R+0.37% 30-06-27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1 902 281,25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6 411 276,84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BMW FIN 2.625% 20-05-28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1 969 860,38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General Motors Financial Co Inc 0.6% 20-05-27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1 953 942,24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General Motors Financial Co Inc 3.9% 12-01-28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2 027 934,04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VOLKSWAGEN LEASING 3.625% 11-10-26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459 540,18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343 235 772,57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23,69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AUSTRALIA NEW ZEA BANKING GRP LTD GTO 0.75% 29-09-26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1 989 157,14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BPM 4.625% 29-11-27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2 072 449,26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DE BADELL 0.875% 16-06-28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2 941 572,05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DE BADELL 5.125% 10-11-28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3 143 541,81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BANKINTER 0.875% 08-07-26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2 004 223,34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BARCLAYS 0.877% 28-01-28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1 968 558,49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BAYER LAND BK 4.25% 21-06-27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1 047 502,55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BBVA 0.5% 14-01-27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4 421 244,56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BBVA 1.0% 21-06-26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4 018 469,12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BBVA E3R+0.55% 15-01-29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2 816 881,44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BCP 1.75% 07-04-28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1 505 367,71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BK IRELAND GROUP 0.375% 10-05-27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2 002 065,20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BNP PAR 0.25% 13-04-27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4 508 018,42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BNP PAR 0.5% 19-02-28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9 784 970,25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BNP PAR 0.5% 30-05-28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5 350 793,33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BNP PAR 1.125% 11-06-26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8 052 774,21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BPCE 0.01% 14-01-27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6 366 281,22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BPCE 3.5% 25-01-28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2 020 996,68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BPCE 3.625% 17-04-26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4 140 998,84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BPCE 4.375% 13-07-28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4 203 586,02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BPCE ISSUER 0.5% 24-02-27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4 901 940,34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BPCE ISSUER 3.875% 11-01-29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5 088 509,84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BQ POSTALE 0.25% 12-07-26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2 489 407,90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BQ POSTALE 1.0% 09-02-28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8 858 511,15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BQ POSTALE 2.0% 13-07-28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4 926 580,24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0.125% 09-12-27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950 684,33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bl>
    <w:p>
      <w:pPr>
        <w:sectPr>
          <w:headerReference w:type="default" r:id="rId28"/>
          <w:footerReference w:type="default" r:id="rId29"/>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A558E160B2BF572693ADB0FC608CB3CB "" </w:instrText>
      </w:r>
      <w:r>
        <w:rPr>
          <w:rFonts w:ascii="Arial" w:eastAsia="Arial" w:hAnsi="Arial" w:cs="Arial"/>
          <w:b w:val="0"/>
          <w:i w:val="0"/>
          <w:strike w:val="0"/>
          <w:color w:val="000000"/>
          <w:sz w:val="0"/>
          <w:u w:val="none"/>
          <w:vertAlign w:val="baseline"/>
          <w:lang w:val="fr-FR"/>
        </w:rPr>
        <w:fldChar w:fldCharType="separate"/>
      </w:r>
      <w:bookmarkStart w:id="70" w:name="A558E160B2BF572693ADB0FC608CB3CB"/>
      <w:bookmarkEnd w:id="70"/>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319B2C54E7D20AF101E66671D7F5DC6C "" </w:instrText>
      </w:r>
      <w:r>
        <w:rPr>
          <w:rFonts w:ascii="Arial" w:eastAsia="Arial" w:hAnsi="Arial" w:cs="Arial"/>
          <w:b w:val="0"/>
          <w:i w:val="0"/>
          <w:strike w:val="0"/>
          <w:color w:val="000000"/>
          <w:sz w:val="0"/>
          <w:u w:val="none"/>
          <w:vertAlign w:val="baseline"/>
          <w:lang w:val="fr-FR"/>
        </w:rPr>
        <w:fldChar w:fldCharType="separate"/>
      </w:r>
      <w:bookmarkStart w:id="71" w:name="319B2C54E7D20AF101E66671D7F5DC6C"/>
      <w:bookmarkEnd w:id="71"/>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0.375% 20-04-28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2 836 288,17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0.625% 12-01-28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4 917 196,93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1.875% 22-04-27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5 596 045,47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3.375% 28-07-27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5 137 237,99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CAIXABANK 0.75% 09-07-26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4 003 572,38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CAIXABANK 0.75% 26-05-28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3 036 734,29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CAN IMP BK E3R+0.62% 03-02-28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1 006 104,92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COOPERATIEVE RABOBANK UA 3.913% 03-11-26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5 116 823,64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CREDIT MUTUEL ARKEA 3.375% 19-09-27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2 552 825,21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 BK AUST 1.125% 18-01-28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2 905 552,37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 BK AUST E3R+0.48% 15-12-27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1 003 853,05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 VOLKSBANK NV 0.25% 22-06-26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3 489 526,87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 VOLKSBANK NV 0.375% 03-03-28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2 834 630,90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 VOLKSBANK NV 4.625% 23-11-27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6 198 197,25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DNB BANK A 0.25% 23-02-29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2 833 222,37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DNB BANK A 3.125% 21-09-27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3 054 976,52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DNB BANK A 4.5% 19-07-28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4 719 175,78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EFG EUROBANK 2.0% 05-05-27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2 034 306,81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ERSTE GR BK 0.875% 22-05-26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4 022 318,08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ERSTE GR BK 1.5% 07-04-26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2 029 589,04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HSBC 3.019% 15-06-27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3 074 652,29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HSBC 4.752% 10-03-28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3 055 235,82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ING BANK NEDERLAND NV 2.625% 01-12-28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2 383 974,51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ING BANK NEDERLAND NV 4.125% 02-10-26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102 775,46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ING GROEP NV 0.25% 18-02-29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2 737 538,54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ING GROEP NV 1.375% 11-01-28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1 943 210,87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 0.75% 16-03-28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6 684 070,48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 1.75% 20-03-28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7 770 257,58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 4.0% 19-05-26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1 036 645,60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 4.375% 29-08-27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4 171 668,54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 5.0% 08-03-28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3 059 427,16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 E3R+0.6% 16-04-27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5 848 244,66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ISLANDSBANKI HF NEW 4.625% 27-03-28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3 064 071,38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JYSKE BANK DNK 5.0% 26-10-28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3 136 829,28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JYSKE BANK DNK 5.5% 16-11-27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1 036 359,99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KBC GROUPE 0.375% 16-06-27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4 990 816,81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KBC IFIMA E3R+0.3% 24-02-28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1 702 943,98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LLOYDS BANKING GROUP 1.5% 12-09-27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1 970 413,24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LLOYDS BANKING GROUP 4.5% 11-01-29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3 088 828,27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LLOYDS BANKING GROUP E3R+0.63% 04-03-28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2 008 396,12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NATIONWIDE BUILDING SOCIETY 2.0% 28-04-27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10 085 175,62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NATIONWIDE BUILDING SOCIETY 4.5% 01-11-26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6 020 000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6 195 996,77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NATIONWIDE BUILDING SOCIETY E3R+0.48% 09-05-27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1 507 741,52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WESTMINSTER BANK 1.375% 02-03-27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1 483 041,31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bl>
    <w:p>
      <w:pPr>
        <w:sectPr>
          <w:headerReference w:type="default" r:id="rId30"/>
          <w:footerReference w:type="default" r:id="rId31"/>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01EDFFCCA3E651995BA19A840A93DFC1 "" </w:instrText>
      </w:r>
      <w:r>
        <w:rPr>
          <w:rFonts w:ascii="Arial" w:eastAsia="Arial" w:hAnsi="Arial" w:cs="Arial"/>
          <w:b w:val="0"/>
          <w:i w:val="0"/>
          <w:strike w:val="0"/>
          <w:color w:val="000000"/>
          <w:sz w:val="0"/>
          <w:u w:val="none"/>
          <w:vertAlign w:val="baseline"/>
          <w:lang w:val="fr-FR"/>
        </w:rPr>
        <w:fldChar w:fldCharType="separate"/>
      </w:r>
      <w:bookmarkStart w:id="72" w:name="01EDFFCCA3E651995BA19A840A93DFC1"/>
      <w:bookmarkEnd w:id="72"/>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F3F9BAC37DD5E58D0DCE6C35C53D3EA8 "" </w:instrText>
      </w:r>
      <w:r>
        <w:rPr>
          <w:rFonts w:ascii="Arial" w:eastAsia="Arial" w:hAnsi="Arial" w:cs="Arial"/>
          <w:b w:val="0"/>
          <w:i w:val="0"/>
          <w:strike w:val="0"/>
          <w:color w:val="000000"/>
          <w:sz w:val="0"/>
          <w:u w:val="none"/>
          <w:vertAlign w:val="baseline"/>
          <w:lang w:val="fr-FR"/>
        </w:rPr>
        <w:fldChar w:fldCharType="separate"/>
      </w:r>
      <w:bookmarkStart w:id="73" w:name="F3F9BAC37DD5E58D0DCE6C35C53D3EA8"/>
      <w:bookmarkEnd w:id="7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WESTMINSTER BANK 2.75% 04-11-27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1 407 428,46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WESTMINSTER BANK 3.625% 09-01-29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2 032 992,72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NIBC BANK NV 0.875% 24-06-27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1 667 691,91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RENAULT CREDIT INTL BANQUE 1.625% 26-05-26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2 024 324,79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0.125% 18-02-28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4 726 121,29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0.625% 02-12-27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3 454 480,30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0.75% 25-01-27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12 313 405,42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0.875% 01-07-26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5 814 502,69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1.375% 13-01-28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484 981,65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2.125% 27-09-28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1 959 284,94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4.125% 02-06-27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1 570 269,79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4.25% 28-09-26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514 816,08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SHBASS 0.05 09/03/26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3 760 905,93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SKANDINAVISKA ENSKILDA BANKEN AB 0.375% 11-02-27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2 253 221,65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SKANDINAVISKA ENSKILDA BANKEN AB 0.375% 21-06-28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2 822 743,08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SKANDINAVISKA ENSKILDA BANKEN AB 0.75% 09-08-27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1 950 672,71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SKANDINAVISKA ENSKILDA BANKEN AB 3.75% 07-02-28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2 028 336,22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SKANDINAVISKA ENSKILDA BANKEN AB E3R+0.38% 03-05-27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1 507 144,89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STANDARD CHARTERED 0.85% 27-01-28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1 970 631,21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SVENSKA HANDELSBANKEN AB 0.05% 06-09-28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5 569 373,94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SVENSKA HANDELSBANKEN AB 3.75% 01-11-27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1 025 875,77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SVENSKA HANDELSBANKEN AB 3.75% 05-05-26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6 108 942,59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SVENSKA HANDELSBANKEN AB 3.875% 10-05-27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2 088 915,38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SVENSKA HANDELSBANKEN AB E3R+0.42% 17-02-28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2 611 661,95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Swedbank AB 0.2% 12-01-28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2 369 877,13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Swedbank AB 0.3% 20-05-27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4 998 750,29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SWEDBANK AB 4.25% 11-07-28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2 626 343,76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SWEDBANK AB E3R+0.43% 30-08-27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2 910 843,14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SYDBANK 4.125% 30-09-27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2 052 900,94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VOLKSBANK WIEN AG 4.75% 15-03-27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3 566 752,67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Biens de consommation durables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1 025 341,66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ELECTROLUX AB 4.125% 05-10-26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1 025 341,66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Boissons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27 912 644,89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ASAHI BREWERIES 0.336% 19-04-27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2 830 440,88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ASAHI BREWERIES 0.541% 23-10-28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2 801 805,70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CARLSBERG BREWERIES AS 3.5% 26-11-26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2 034 332,16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CARLSBERG BREWERIES AS E3R+0.4% 28-02-27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2 006 256,63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COCA-COLA EUROPEAN PARTN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2 770 126,08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COCACOLA EUROPEAN PARTN 1.75% 26-05-28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1 972 367,33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COCA COLA HBC FINANCE BV 3.375% 01-10-28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3 808 680,92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COCA COLA HBC FINANCE BV 3.375% 27-02-28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2 716 187,23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PERNOD RICARD 0.5% 24-10-27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2 891 099,01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PERNOD RICARD 1.5% 18-05-26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2 023 535,96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bl>
    <w:p>
      <w:pPr>
        <w:sectPr>
          <w:headerReference w:type="default" r:id="rId32"/>
          <w:footerReference w:type="default" r:id="rId33"/>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62EFFF32ACDD37C2B0DBEE87E1DB36EE "" </w:instrText>
      </w:r>
      <w:r>
        <w:rPr>
          <w:rFonts w:ascii="Arial" w:eastAsia="Arial" w:hAnsi="Arial" w:cs="Arial"/>
          <w:b w:val="0"/>
          <w:i w:val="0"/>
          <w:strike w:val="0"/>
          <w:color w:val="000000"/>
          <w:sz w:val="0"/>
          <w:u w:val="none"/>
          <w:vertAlign w:val="baseline"/>
          <w:lang w:val="fr-FR"/>
        </w:rPr>
        <w:fldChar w:fldCharType="separate"/>
      </w:r>
      <w:bookmarkStart w:id="74" w:name="62EFFF32ACDD37C2B0DBEE87E1DB36EE"/>
      <w:bookmarkEnd w:id="74"/>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8A58097EECF2C6AA3503D1C5AB28327E "" </w:instrText>
      </w:r>
      <w:r>
        <w:rPr>
          <w:rFonts w:ascii="Arial" w:eastAsia="Arial" w:hAnsi="Arial" w:cs="Arial"/>
          <w:b w:val="0"/>
          <w:i w:val="0"/>
          <w:strike w:val="0"/>
          <w:color w:val="000000"/>
          <w:sz w:val="0"/>
          <w:u w:val="none"/>
          <w:vertAlign w:val="baseline"/>
          <w:lang w:val="fr-FR"/>
        </w:rPr>
        <w:fldChar w:fldCharType="separate"/>
      </w:r>
      <w:bookmarkStart w:id="75" w:name="8A58097EECF2C6AA3503D1C5AB28327E"/>
      <w:bookmarkEnd w:id="7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PERNOD RICARD 3.75% 15-09-27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2 057 812,99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Compagnies aériennes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1 530 540,59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LUFTHANSA AG 2.875% 16-05-27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1 530 540,59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4 054 943,57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CONTINENTAL 4.0% 01-06-28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2 085 687,17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MAGNA INTL 1.5% 25-09-27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1 969 256,40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Conglomérats industriels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3 020 904,03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KONINKLIJKE PHILIPS NV 1.875% 05-05-27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3 020 904,03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Courrier, fret aérien et logistique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4 404 365,84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DSV AS 0.375% 26-02-27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4 404 365,84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Crédit à la consommation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5 072 708,90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CATERPILLAR FINANCIAL SERVICES 2.521% 22-08-28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3 095 401,26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CATERPILLAR FINANCIAL SERVICES 2.541% 20-11-28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1 977 307,64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26 718 142,67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ASB FINANCE 0.25% 08-09-28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1 863 564,85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CARREFOUR 1.0% 17-05-27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3 947 004,23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CARREFOUR 1.875% 30-10-26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7 015 408,14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CARREFOUR 4.125% 12-10-28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2 587 115,58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CARREFOUR S A 2.625% 15-12-27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2 993 010,28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KONINKLIJKE AHOLD DELHAIZE NV 1.75% 02-04-27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2 968 064,14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VI 2.25% 15-05-28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3 501 373,13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WOOLWORTHS GROUP LIMITED EX 0.375% 15-11-28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1 842 602,32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spécialisée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1 536 195,26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ARVAL SERVICE LEASE 4.0% 22-09-26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1 536 195,26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Eau</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4 569 213,32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ALLIANDER 2.625% 09-09-27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2 518 082,08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ALLIANDER 3.25% 13-06-28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2 051 131,24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28 660 259,52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EDF 1.0% 13-10-26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2 989 248,45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EDF 3.75% 05-06-27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8 831 840,38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EDF E3R+0.33% 04-03-28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1 402 389,78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ENEL 5.625% 21/06/27      *EUR</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1 075 504,77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ENERGIAS DE PORTUGAL EDP 3.875% 26-06-28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3 126 713,44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LEGRAND 0.625% 24-06-28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3 329 001,03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RTE EDF TRANSPORT 2.875% 02-10-28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2 012 882,75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SSE 1.375% 04-09-27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5 892 678,92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Epargne et prêts hypothécaires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15 869 603,68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ACHMEA BANK NV 2.5% 06-05-28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3 022 751,75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ACHMEA BANK NV 2.75% 10-12-27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2 504 229,67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bl>
    <w:p>
      <w:pPr>
        <w:sectPr>
          <w:headerReference w:type="default" r:id="rId34"/>
          <w:footerReference w:type="default" r:id="rId35"/>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02487B45FAE68C95BCD4A338D044FE36 "" </w:instrText>
      </w:r>
      <w:r>
        <w:rPr>
          <w:rFonts w:ascii="Arial" w:eastAsia="Arial" w:hAnsi="Arial" w:cs="Arial"/>
          <w:b w:val="0"/>
          <w:i w:val="0"/>
          <w:strike w:val="0"/>
          <w:color w:val="000000"/>
          <w:sz w:val="0"/>
          <w:u w:val="none"/>
          <w:vertAlign w:val="baseline"/>
          <w:lang w:val="fr-FR"/>
        </w:rPr>
        <w:fldChar w:fldCharType="separate"/>
      </w:r>
      <w:bookmarkStart w:id="76" w:name="02487B45FAE68C95BCD4A338D044FE36"/>
      <w:bookmarkEnd w:id="76"/>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044FD015D0A3E0F916B1C50BA535BD05 "" </w:instrText>
      </w:r>
      <w:r>
        <w:rPr>
          <w:rFonts w:ascii="Arial" w:eastAsia="Arial" w:hAnsi="Arial" w:cs="Arial"/>
          <w:b w:val="0"/>
          <w:i w:val="0"/>
          <w:strike w:val="0"/>
          <w:color w:val="000000"/>
          <w:sz w:val="0"/>
          <w:u w:val="none"/>
          <w:vertAlign w:val="baseline"/>
          <w:lang w:val="fr-FR"/>
        </w:rPr>
        <w:fldChar w:fldCharType="separate"/>
      </w:r>
      <w:bookmarkStart w:id="77" w:name="044FD015D0A3E0F916B1C50BA535BD05"/>
      <w:bookmarkEnd w:id="7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CELLNEX FINANCE 1.0% 15-09-27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2 926 822,71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CELLNEX FINANCE 2.25% 12-04-26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3 065 386,59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SR BANK SPAREBANKEN ROGALAND 0.375% 15-07-27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1 793 605,50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SR BANK SPAREBANKEN ROGALAND 3.75% 23-11-27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2 556 807,46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 et services pour l'énergie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14 343 247,58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0,99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 GM 1.5% 18-04-28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4 426 585,10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EUROGRID GMBH 1 3.075% 18-10-27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7 900 472,05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JOHNSON NTROLS INTL PLC TY 3.0% 15-09-28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2 016 190,43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de communication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2 953 485,53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 TEL 1.5% 03-04-28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2 953 485,53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1 310 446,36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TYCO ELECTRONICS GROUP 2.5% 06-05-28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1 310 446,36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et fournitures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7 977 864,61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ALCON 2.375% 31-05-28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1 993 950,24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BECTON DICKINSON EURO FINANCE SARL 0.334% 13-08-28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1 869 421,74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SARTORIUS FINANCE BV 4.25% 14-09-26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4 114 492,63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Finances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11 441 255,62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EASYJET FINCO BV 1.875% 03-03-28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3 395 973,13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NOVO NORDISK FINANCE NETHERLANDS BV 2.375% 27-05-28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3 514 354,96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NOVO NORDISK FINANCE NETHERLANDS BV 3.375% 21-05-26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4 530 927,53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FPI Bureautiques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3 966 692,67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GECINA 1.375% 30-06-27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3 966 692,67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17 554 451,73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IMMOBILIEN ANLAGEN 0.875% 05-02-27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978 651,44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CTP BV 0.75% 18-02-27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1 467 759,31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KOJAMO OYJ 1.875% 27-05-27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1 001 104,70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LEGGR 0 7/8 11/28/27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1 928 462,85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VONOVIA SE 0.25% 01-09-28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1 858 501,96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VONOVIA SE 0.375% 16-06-27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4 856 016,13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VONOVIA SE 0.625% 09-07-26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3 497 077,90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VONOVIA SE 1.875% 28-06-28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1 966 877,44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Hôtels, restaurants et loisirs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8 971 301,84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0,62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BOOKING 1.8% 03-03-27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4 461 654,60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BOOKING 3.625% 12-11-28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2 036 087,68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COMPASS 2.625% 15-01-29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2 473 559,56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Industrie aérospatiale et défense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10 450 541,76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0,72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AIRBUS SE 1.375% 09-06-26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5 550 724,49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ROLLS ROYCE 1.625% 09-05-28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4 899 817,27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bl>
    <w:p>
      <w:pPr>
        <w:sectPr>
          <w:headerReference w:type="default" r:id="rId36"/>
          <w:footerReference w:type="default" r:id="rId37"/>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406862EA8B0DFD65F364BC0BAFBDAA49 "" </w:instrText>
      </w:r>
      <w:r>
        <w:rPr>
          <w:rFonts w:ascii="Arial" w:eastAsia="Arial" w:hAnsi="Arial" w:cs="Arial"/>
          <w:b w:val="0"/>
          <w:i w:val="0"/>
          <w:strike w:val="0"/>
          <w:color w:val="000000"/>
          <w:sz w:val="0"/>
          <w:u w:val="none"/>
          <w:vertAlign w:val="baseline"/>
          <w:lang w:val="fr-FR"/>
        </w:rPr>
        <w:fldChar w:fldCharType="separate"/>
      </w:r>
      <w:bookmarkStart w:id="78" w:name="406862EA8B0DFD65F364BC0BAFBDAA49"/>
      <w:bookmarkEnd w:id="78"/>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BA9151466C7015E6136E869CF6DA4D27 "" </w:instrText>
      </w:r>
      <w:r>
        <w:rPr>
          <w:rFonts w:ascii="Arial" w:eastAsia="Arial" w:hAnsi="Arial" w:cs="Arial"/>
          <w:b w:val="0"/>
          <w:i w:val="0"/>
          <w:strike w:val="0"/>
          <w:color w:val="000000"/>
          <w:sz w:val="0"/>
          <w:u w:val="none"/>
          <w:vertAlign w:val="baseline"/>
          <w:lang w:val="fr-FR"/>
        </w:rPr>
        <w:fldChar w:fldCharType="separate"/>
      </w:r>
      <w:bookmarkStart w:id="79" w:name="BA9151466C7015E6136E869CF6DA4D27"/>
      <w:bookmarkEnd w:id="7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Infrastructure de transports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17 219 860,45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ADP 1.0% 13-12-27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3 392 989,43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ADPFP 2 3/4 06/05/28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3 033 690,68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AURI 3.125% 01-06-26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2 567 931,53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NV LUCHTHAVEN SCHIPHOL 0.375% 08-09-27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5 319 240,95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SOCIETE DES AUTOROUTES PARIS RHIN RHONE 1.875% 03-01-29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2 906 007,86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5 204 734,40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EVONIK INDUSTRIES 2.25% 25-09-27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1 495 897,19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PANDORA AS 4.5% 10-04-28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3 708 837,21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7 926 296,60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SANDVIK AB 2.125% 07-06-27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5 538 643,18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SIEMENS FINANCIERINGSMAATNV 0.25% 20-02-29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1 380 635,40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SIEMENS FINANCIERINGSMAATNV 2.5% 08-09-27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1 007 018,02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107 109 043,20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0.6% 15-01-27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4 630 766,58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2.375% 01-06-27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1 316 217,06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2.625% 16-01-29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8 800 485,14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4.0% 16-01-28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510 514,53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E3R+0.35% 25-02-27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3 309 472,65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E3R+0.48% 21-01-28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2 014 133,25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E3R+0.6% 15-01-27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2 418 982,16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AIB GROUP 0.5% 17-11-27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3 257 332,61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AIB GROUP 2.25% 04-04-28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1 518 429,61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ASB BANK 4.5% 16-03-27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3 558 554,64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AUSTRALIA NEW ZEALAND BKING MELBOUR E3R+0.4% 21-05-27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3 010 730,27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AUSTRALIA NEW ZEALAND BKING MELBOUR E3R+0.48% 29-10-27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2 012 619,24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NTANDER 0.2% 11-02-28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2 841 358,42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SANTANDER ALL SPAIN BRANCH 3.5% 09-01-28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1 518 290,82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SANTANDER ALL SPAIN BRANCH 3.875% 16-01-28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5 100 194,48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SANTANDER ALL SPAIN BRANCH 4.625% 18-10-27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1 545 598,78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BANK OF MONTREAL E3R+0.47% 12-04-27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4 830 987,51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BANK OF MONTREAL E3R+0.65% 24-03-29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4 401 003,19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BANK OF NOVA SCOTIA E3R+0.53% 10-06-27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3 009 360,25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CESKA SPORITELNA AS 0.5% 13-09-28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1 920 151,28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CESKA SPORITELNA AS 5.737% 08-03-28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1 842 441,38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FEDERATION DES CAISSES DESJARDINS QUEBEC E3R+0.45% 14-01-27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4 024 937,10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LLOYDS BANK CORPORATE MKTS 4.125% 30-05-27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2 093 128,69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LLOYDS BANK CORPORATE MKTS PLC E 2.375% 09-04-26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2 251 345,81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MEDIOBANCABCA CREDITO FINANZ 1.0% 08-09-27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5 363 339,85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MMS USA FINANCING INC 1.25% 13-06-28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5 793 449,01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BANK OF CANADA 3.75% 25-01-28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3 553 635,30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bl>
    <w:p>
      <w:pPr>
        <w:sectPr>
          <w:headerReference w:type="default" r:id="rId38"/>
          <w:footerReference w:type="default" r:id="rId39"/>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7462CDA8D335201D360472DAF57C557F "" </w:instrText>
      </w:r>
      <w:r>
        <w:rPr>
          <w:rFonts w:ascii="Arial" w:eastAsia="Arial" w:hAnsi="Arial" w:cs="Arial"/>
          <w:b w:val="0"/>
          <w:i w:val="0"/>
          <w:strike w:val="0"/>
          <w:color w:val="000000"/>
          <w:sz w:val="0"/>
          <w:u w:val="none"/>
          <w:vertAlign w:val="baseline"/>
          <w:lang w:val="fr-FR"/>
        </w:rPr>
        <w:fldChar w:fldCharType="separate"/>
      </w:r>
      <w:bookmarkStart w:id="80" w:name="7462CDA8D335201D360472DAF57C557F"/>
      <w:bookmarkEnd w:id="80"/>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DB744FF56503807068EA770DEEA12448 "" </w:instrText>
      </w:r>
      <w:r>
        <w:rPr>
          <w:rFonts w:ascii="Arial" w:eastAsia="Arial" w:hAnsi="Arial" w:cs="Arial"/>
          <w:b w:val="0"/>
          <w:i w:val="0"/>
          <w:strike w:val="0"/>
          <w:color w:val="000000"/>
          <w:sz w:val="0"/>
          <w:u w:val="none"/>
          <w:vertAlign w:val="baseline"/>
          <w:lang w:val="fr-FR"/>
        </w:rPr>
        <w:fldChar w:fldCharType="separate"/>
      </w:r>
      <w:bookmarkStart w:id="81" w:name="DB744FF56503807068EA770DEEA12448"/>
      <w:bookmarkEnd w:id="81"/>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BANK OF CANADA E3R+0.57% 15-12-28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3 304 440,09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NORDEA BKP 0.5% 02-11-28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5 591 873,73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NORDEA BKP 1.125% 16-02-27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2 467 032,78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NORDEA BKP E3R+0.38% 23-10-28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3 812 327,88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RAIFFEISEN BANK INTL AG 0.375% 25-09-26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1 784 020,78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SANTANDER CONSUMER BANK AS 0.125% 14-04-26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3 701 888,33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8 523 744,92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INFORMA 1.25% 22-04-28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3 867 456,55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INFORMA 3.0% 23-10-27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4 656 288,37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Médias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3 533 318,66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BERTELSMANN 1.125% 27-04-26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3 533 318,66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2 997 644,21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GEN MILLS 1.5% 27-04-27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2 997 644,21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1 940 365,41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BASF 0.25% 05-06-27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1 940 365,41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de soins personnels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3 959 890,98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 OREAL S A 2.5% 12-01-29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3 959 890,98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domestiques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7 603 493,70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HENKEL AG AND COKGAA E3R+0.35% 02-04-28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7 603 493,70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6 399 379,37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ABBVIE 0.75% 18-11-27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1 452 016,61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ESSITY AB 1.625% 30-03-27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4 947 362,76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pour l'industrie du bâtiment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13 694 782,56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0,94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ASSA ABLOY AB 3.75% 13-09-26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3 587 161,39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COMPAGNIE DE SAINT GOBAIN 2.125% 10-06-28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2 979 738,09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COMPAGNIE DE SAINT GOBAIN 2.75% 04-04-28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4 070 789,78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COMPAGNIE DE SAINT GOBAIN 3.75% 29-11-26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3 057 093,30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Semi-conducteurs et équipements pour fabrication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3 526 869,22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INFINEON TECHNOLOGIES AG 3.375% 26-02-27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3 526 869,22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22 359 740,31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1,54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A2A EX AEM 1.5% 16-03-28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1 946 051,17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EDP FIN 0.375% 16-09-26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2 975 955,99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ENGIE 3.625% 06-12-26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5 084 423,32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ENGIE 3.75% 06-09-27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1 544 183,15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IBERDROLA FINANZAS SAU 2.625% 30-03-28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1 981 997,78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GRID 3.875% 16-01-29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2 040 013,52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POSTE ITALIANE 0.5% 10-12-28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1 862 936,12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SUEZ 1.25% 19-05-28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1 937 730,40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VEOLIA ENVIRONNEMENT 0.0% 09-06-26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2 986 448,86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bl>
    <w:p>
      <w:pPr>
        <w:sectPr>
          <w:headerReference w:type="default" r:id="rId40"/>
          <w:footerReference w:type="default" r:id="rId41"/>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78C952E8EF5935F2631C589C0807D7D8 "" </w:instrText>
      </w:r>
      <w:r>
        <w:rPr>
          <w:rFonts w:ascii="Arial" w:eastAsia="Arial" w:hAnsi="Arial" w:cs="Arial"/>
          <w:b w:val="0"/>
          <w:i w:val="0"/>
          <w:strike w:val="0"/>
          <w:color w:val="000000"/>
          <w:sz w:val="0"/>
          <w:u w:val="none"/>
          <w:vertAlign w:val="baseline"/>
          <w:lang w:val="fr-FR"/>
        </w:rPr>
        <w:fldChar w:fldCharType="separate"/>
      </w:r>
      <w:bookmarkStart w:id="82" w:name="78C952E8EF5935F2631C589C0807D7D8"/>
      <w:bookmarkEnd w:id="82"/>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06EF8762C7D2577A4A49D7E8E7634081 "" </w:instrText>
      </w:r>
      <w:r>
        <w:rPr>
          <w:rFonts w:ascii="Arial" w:eastAsia="Arial" w:hAnsi="Arial" w:cs="Arial"/>
          <w:b w:val="0"/>
          <w:i w:val="0"/>
          <w:strike w:val="0"/>
          <w:color w:val="000000"/>
          <w:sz w:val="0"/>
          <w:u w:val="none"/>
          <w:vertAlign w:val="baseline"/>
          <w:lang w:val="fr-FR"/>
        </w:rPr>
        <w:fldChar w:fldCharType="separate"/>
      </w:r>
      <w:bookmarkStart w:id="83" w:name="06EF8762C7D2577A4A49D7E8E7634081"/>
      <w:bookmarkEnd w:id="8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7 966 250,98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BABCOCK INTL GROUP 1.375% 13-09-27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3 436 154,47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 POSTE 2.625% 14-09-28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3 004 620,38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SECURITAS AB 0.25% 22-02-28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473 830,75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SECURITAS TREASURY IRELAND DAC 4.25% 04-04-27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1 051 645,38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3 540 322,50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BUREAU VERITAS 1.125% 18-01-27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989 094,24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MANPOWER 3.5% 30-06-27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2 057 679,85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WOLTERS KLUWER NV 6.748% 14-08-28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493 548,41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clientèle divers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35 565 392,11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2,45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ARVAL SERVICE LEASE SAFRANCE COMPANY 4.75% 22-05-27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1 058 610,77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3.875% 22-02-27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3 548 735,92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3.875% 24-01-28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1 525 590,96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4.25% 18-01-27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4 080 560,05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4.375% 23-11-26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3 282 299,17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E3R+0.68% 19-11-27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2 013 115,65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EDENRED 3.625% 13-12-26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2 032 096,55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EXPERIAN FIN 1.375% 25-06-26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1 008 012,27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LEASYS 2.875% 17-08-27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1 721 720,27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LEASYS 3.875% 01-03-28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5 053 297,85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LEASYS 4.5% 26-07-26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4 138 818,64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LEASYS 4.625% 16-02-27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6 102 534,01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20 370 103,22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BRITISH TEL 1.5% 23-06-27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496 717,92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ELISA CORPORATION 4.0% 27-01-29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1 024 488,46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ORANGE 1.375% 20-03-28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1 937 089,28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ORANGE 2.5% 13-11-28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4 166 200,92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TELENOR AS 0.25% 14-02-28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4 272 319,62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TELENOR AS 0.75% 31-05-26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4 515 087,31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VERIZON COMMUNICATION 0.875% 08-04-27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3 958 199,71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de télécommunication mobile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7 437 136,91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AMERICAN TOWER 0.45% 15-01-27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4 425 211,92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AMERICAN TOWER 1.95% 22-05-26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1 523 586,42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TELE2 AB 2.125% 15-05-28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1 488 338,57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236 090 464,80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AAREAL BK 5.875% 29-05-26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4 218 007,88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Abbot Ireland Financing DAC 1.5% 27-09-26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1 002 732,95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ADECCO INTL FINANCIAL 0.125% 21-09-28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2 759 237,83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AMERICAN HONDA FIN 0.3% 07-07-28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1 858 998,55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ANZ NEW ZEALAND INTLLDN 3.527% 24-01-28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1 012 501,70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ARGENTA SPAARBANK 1.0% 29-01-27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2 466 472,99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bl>
    <w:p>
      <w:pPr>
        <w:sectPr>
          <w:headerReference w:type="default" r:id="rId42"/>
          <w:footerReference w:type="default" r:id="rId43"/>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C88DC9D5E88D62811D3A9D760993FCD4 "" </w:instrText>
      </w:r>
      <w:r>
        <w:rPr>
          <w:rFonts w:ascii="Arial" w:eastAsia="Arial" w:hAnsi="Arial" w:cs="Arial"/>
          <w:b w:val="0"/>
          <w:i w:val="0"/>
          <w:strike w:val="0"/>
          <w:color w:val="000000"/>
          <w:sz w:val="0"/>
          <w:u w:val="none"/>
          <w:vertAlign w:val="baseline"/>
          <w:lang w:val="fr-FR"/>
        </w:rPr>
        <w:fldChar w:fldCharType="separate"/>
      </w:r>
      <w:bookmarkStart w:id="84" w:name="C88DC9D5E88D62811D3A9D760993FCD4"/>
      <w:bookmarkEnd w:id="84"/>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49A1EF32980352C168FE5383E3B952CC "" </w:instrText>
      </w:r>
      <w:r>
        <w:rPr>
          <w:rFonts w:ascii="Arial" w:eastAsia="Arial" w:hAnsi="Arial" w:cs="Arial"/>
          <w:b w:val="0"/>
          <w:i w:val="0"/>
          <w:strike w:val="0"/>
          <w:color w:val="000000"/>
          <w:sz w:val="0"/>
          <w:u w:val="none"/>
          <w:vertAlign w:val="baseline"/>
          <w:lang w:val="fr-FR"/>
        </w:rPr>
        <w:fldChar w:fldCharType="separate"/>
      </w:r>
      <w:bookmarkStart w:id="85" w:name="49A1EF32980352C168FE5383E3B952CC"/>
      <w:bookmarkEnd w:id="8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ARION BANK 7.25% 25-05-26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3 954 010,71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0.01% 11-05-26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2 992 993,11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0.25% 19-07-28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2 800 265,35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0.625% 03-11-28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4 669 383,63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0.75% 08-06-26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5 014 973,28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1.25% 26-05-27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6 448 632,34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3.125% 14-09-27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5 089 474,35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STELLANTIS FRANCE 2.875% 19-01-29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1 973 822,06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BMW INTL INVESTMENT 3.0% 27-08-27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3 561 564,64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BRENNTAG FINANCE BV 3.75% 24-04-28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5 201 171,78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AUTO BANK SPA IRISH BRANCH 2.75% 07-07-28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3 320 061,46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AUTO BANK SPA IRISH BRANCH 2.75% 21-01-29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2 690 000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2 646 289,29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AUTO BANK SPA IRISH BRANCH 3.75% 12-04-27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4 686 861,57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AUTO BANK SPA IRISH BRANCH 4.375% 08-06-26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4 979 790,65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AUTO BANK SPA IRISH BRANCH 4.75% 25-01-27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3 068 685,41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CNH INDUSTRIAL FINANCE EUROPE 1.75% 25-03-27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4 941 617,70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CRH SMW FINANCE DAC 4.0% 11-07-27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5 196 983,41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DH EUROPE FINANCE II SARL 0.45% 18-03-28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3 320 927,68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DIAGEO FINANCE 1.5% 22-10-27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5 900 148,66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DSV FINANCE BV 2.875% 06-11-26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7 797 351,24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DSV FINANCE BV 3.125% 06-11-28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3 022 035,38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ENBW INTL FINANCE 3.625% 22-11-26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1 018 041,58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ENEL FINANCE INTL NV 0.25% 17-06-27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6 012 265,48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ENEL FINANCE INTL NV 0.25% 28-05-26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1 997 542,09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ENEL FINANCE INTL NV 1.125% 16-09-26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3 998 334,15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ENEL FINANCE INTL NV 2.625% 24-02-28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2 780 954,52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EURONEXT NV 2.625% 26-11-28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3 975 852,00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FIDELITY NATL INFORMATION SERVICES 1.5% 21-05-27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6 949 761,46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HALEON UK CAPITAL 2.875% 18-09-28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3 013 856,87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HIGHLAND HOLDINGS SARL 2.875% 19-11-27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2 270 000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2 278 302,08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JDE PEET S BV E3R+0.7% 11-12-27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2 607 891,28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LEASEPLAN CORPORATION NV 0.25% 07-09-26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3 271 822,59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LONDON STOCK EXCHANGE GROUP 1.75% 06-12-27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2 939 220,08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LSEG NETHERLANDS BV 2.75% 20-09-27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5 835 036,34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LSEG NETHERLANDS BV 4.125% 29-09-26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6 778 738,17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MITSUBISHI HC CAPITAL UK 3.733% 02-02-27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6 572 187,02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NTT FINANCE E3R+0.5% 16-07-27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1 007 527,26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 CORPORATE BANK 0.375% 16-06-28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2 355 154,81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 CORPORATE BANK 0.6% 18-01-27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8 657 530,43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 CORPORATE BANK 4.0% 13-06-28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2 622 287,01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 CORPORATE BANK E3R+0.38% 30-01-29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5 018 089,58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PROLOGIS EURO FINANCE LLC 0.25% 10-09-27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4 307 049,02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0,30</w:t>
            </w:r>
          </w:p>
        </w:tc>
      </w:tr>
    </w:tbl>
    <w:p>
      <w:pPr>
        <w:sectPr>
          <w:headerReference w:type="default" r:id="rId44"/>
          <w:footerReference w:type="default" r:id="rId45"/>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8F26BEE5E52099250AB02E077FBCE21B "" </w:instrText>
      </w:r>
      <w:r>
        <w:rPr>
          <w:rFonts w:ascii="Arial" w:eastAsia="Arial" w:hAnsi="Arial" w:cs="Arial"/>
          <w:b w:val="0"/>
          <w:i w:val="0"/>
          <w:strike w:val="0"/>
          <w:color w:val="000000"/>
          <w:sz w:val="0"/>
          <w:u w:val="none"/>
          <w:vertAlign w:val="baseline"/>
          <w:lang w:val="fr-FR"/>
        </w:rPr>
        <w:fldChar w:fldCharType="separate"/>
      </w:r>
      <w:bookmarkStart w:id="86" w:name="8F26BEE5E52099250AB02E077FBCE21B"/>
      <w:bookmarkEnd w:id="86"/>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792B76362106D5A76DC7AC0D12BD67EF "" </w:instrText>
      </w:r>
      <w:r>
        <w:rPr>
          <w:rFonts w:ascii="Arial" w:eastAsia="Arial" w:hAnsi="Arial" w:cs="Arial"/>
          <w:b w:val="0"/>
          <w:i w:val="0"/>
          <w:strike w:val="0"/>
          <w:color w:val="000000"/>
          <w:sz w:val="0"/>
          <w:u w:val="none"/>
          <w:vertAlign w:val="baseline"/>
          <w:lang w:val="fr-FR"/>
        </w:rPr>
        <w:fldChar w:fldCharType="separate"/>
      </w:r>
      <w:bookmarkStart w:id="87" w:name="792B76362106D5A76DC7AC0D12BD67EF"/>
      <w:bookmarkEnd w:id="8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PROLOGIS EURO FINANCE LLC 0.375% 06-02-28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474 736,51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PROLOGIS EURO FINANCE LLC 1.875% 05-01-29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1 442 752,00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PSA BANQUE FRANCE 3.5% 19-07-27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1 542 168,15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PSA BANQUE FRANCE 4.0% 21-01-27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6 604 215,39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RENTOKIL INITIAL FINANCE BV 3.875% 27-06-27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4 141 979,34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SANDOZ FINANCE BV 3.97% 17-04-27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2 095 637,96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SIKA CAPITAL BV 3.75% 03-11-26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3 062 421,63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TRATON FINANCE LUXEMBOURG 2.875% 26-08-28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5 581 260,17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TRATON FINANCE LUXEMBOURG 3.375% 14-01-28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2 306 102,36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TRATON FINANCE LUXEMBOURG 4.5% 23-11-26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3 898 159,19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TRATON FINANCE LUXEMBOURG E3R+0.7% 21-08-26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1 003 781,18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VOLKSWAGEN BANK 2.75% 19-06-28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2 013 715,25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VOLVO TREASURY AB 3.125% 26-08-27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4 377 171,53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VOLVO TREASURY AB 3.875% 29-08-26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4 109 782,37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VOLVO TREASURY AB E3R+0.4% 10-01-27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5 534 142,35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10 050 894,19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0,69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CAPGEMINI 2.5% 25-09-28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3 975 000,55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HOFP 1 05/15/28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1 929 204,95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THALES SERVICES SAS 4.125% 18-10-28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4 146 688,69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SIIC spécialisées dans le crédit hypothécaire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3 118 312,03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NYKREDIT 4.625% 19-01-29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3 118 312,03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Sociétés d'investissement immobilier cotées (SIIC)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5 687 198,03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UNIBAIL RODAMCO 0.625% 040527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3 922 537,15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UNIBAIL RODAMCO SE 1.0% 27-02-27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1 278 434,93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UNIBAIL RODAMCO SE 1.5% 22-02-28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486 225,95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Soins et autres services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4 065 607,08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CENCORA 2.875% 22-05-28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1 540 000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1 562 544,44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MCKESSON 1.625% 30-10-26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2 503 062,64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4 577 108,75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KERING 1.5% 05-04-27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1 501 086,59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KERING 3.625% 05-09-27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3 076 022,16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Transport routier et ferroviaire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12 708 288,19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DAIMLER TRUCK INTL FINANCE BV 1.625% 06-04-27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5 515 503,89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DAIMLER TRUCK INTL FINANCE BV 3.875% 19-06-26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4 441 393,55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TRANSDEV GROUP 3.054% 21-05-28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2 751 390,75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141 152 254,42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141 152 254,42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141 152 254,42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AUREUS ISR PART Z 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920,664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101 720 131,42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MONETAIRE COURT TERME ISR CLIMAT I-C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39 432 123,00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2,72</w:t>
            </w:r>
          </w:p>
        </w:tc>
      </w:tr>
    </w:tbl>
    <w:p>
      <w:pPr>
        <w:sectPr>
          <w:headerReference w:type="default" r:id="rId46"/>
          <w:footerReference w:type="default" r:id="rId47"/>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631BF250D3A577CF9DFFA019D33AC420 "" </w:instrText>
      </w:r>
      <w:r>
        <w:rPr>
          <w:rFonts w:ascii="Arial" w:eastAsia="Arial" w:hAnsi="Arial" w:cs="Arial"/>
          <w:b w:val="0"/>
          <w:i w:val="0"/>
          <w:strike w:val="0"/>
          <w:color w:val="000000"/>
          <w:sz w:val="0"/>
          <w:u w:val="none"/>
          <w:vertAlign w:val="baseline"/>
          <w:lang w:val="fr-FR"/>
        </w:rPr>
        <w:fldChar w:fldCharType="separate"/>
      </w:r>
      <w:bookmarkStart w:id="88" w:name="631BF250D3A577CF9DFFA019D33AC420"/>
      <w:bookmarkEnd w:id="88"/>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3BEA3628FD31D4C8361FE1DC585FE8CD "" </w:instrText>
      </w:r>
      <w:r>
        <w:rPr>
          <w:rFonts w:ascii="Arial" w:eastAsia="Arial" w:hAnsi="Arial" w:cs="Arial"/>
          <w:b w:val="0"/>
          <w:i w:val="0"/>
          <w:strike w:val="0"/>
          <w:color w:val="000000"/>
          <w:sz w:val="0"/>
          <w:u w:val="none"/>
          <w:vertAlign w:val="baseline"/>
          <w:lang w:val="fr-FR"/>
        </w:rPr>
        <w:fldChar w:fldCharType="separate"/>
      </w:r>
      <w:bookmarkStart w:id="89" w:name="3BEA3628FD31D4C8361FE1DC585FE8CD"/>
      <w:bookmarkEnd w:id="8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TITRES FINANCIERS REÇUS EN PENSION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174 999 999,73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12,06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174 999 999,73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12,06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174 999 999,73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12,06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BELGIUM GOVERNMENT BOND 3.4% 22-06-36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116 810 564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115 000 000,00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7,92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PORTUGAL OBRIGACOES DO TESOURO OT 0.3% 17-10-31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68 415 051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59 999 999,73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INDEMNITÉS SUR TITRES REÇUS EN PENSION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79 489,73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0,01</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7480" w:type="dxa"/>
            <w:gridSpan w:val="3"/>
            <w:tcBorders>
              <w:top w:val="single" w:sz="4" w:space="0" w:color="000000"/>
              <w:left w:val="single" w:sz="4" w:space="0" w:color="000000"/>
              <w:bottom w:val="single" w:sz="4" w:space="0" w:color="000000"/>
              <w:right w:val="none" w:sz="0" w:space="0" w:color="auto"/>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1 438 175 094,50</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99,15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 secteur d’activité représente l’activité principale de l’émetteur de l’instrument financier ; il est issu de sources fiables reconnues au plan international (GICS et NACE principalement).</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50C9FB0D42BFED47DDA1BEFF7DA5EF40 "" </w:instrText>
      </w:r>
      <w:r>
        <w:rPr>
          <w:rFonts w:ascii="Arial" w:eastAsia="Arial" w:hAnsi="Arial" w:cs="Arial"/>
          <w:b w:val="0"/>
          <w:i w:val="0"/>
          <w:strike w:val="0"/>
          <w:color w:val="000000"/>
          <w:sz w:val="0"/>
          <w:u w:val="none"/>
          <w:vertAlign w:val="baseline"/>
          <w:lang w:val="fr-FR"/>
        </w:rPr>
        <w:fldChar w:fldCharType="separate"/>
      </w:r>
      <w:bookmarkStart w:id="90" w:name="50C9FB0D42BFED47DDA1BEFF7DA5EF40"/>
      <w:bookmarkEnd w:id="90"/>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91" w:name="Inventaire des opérations à terme de dev"/>
      <w:bookmarkEnd w:id="91"/>
      <w:r>
        <w:rPr>
          <w:rFonts w:ascii="Arial" w:eastAsia="Arial" w:hAnsi="Arial" w:cs="Arial"/>
          <w:b/>
          <w:i w:val="0"/>
          <w:strike w:val="0"/>
          <w:color w:val="232323"/>
          <w:sz w:val="24"/>
          <w:u w:val="none"/>
          <w:vertAlign w:val="baseline"/>
          <w:lang w:val="fr-FR"/>
        </w:rPr>
        <w:t>Inventaire des opérations à terme de devises</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92" w:name="BK_C271C8EEB689153534D3CD97CCC8B94F"/>
      <w:bookmarkEnd w:id="92"/>
      <w:r>
        <w:rPr>
          <w:rFonts w:ascii="Arial" w:eastAsia="Arial" w:hAnsi="Arial" w:cs="Arial"/>
          <w:b w:val="0"/>
          <w:i w:val="0"/>
          <w:strike w:val="0"/>
          <w:color w:val="FFFFFF"/>
          <w:sz w:val="2"/>
          <w:u w:val="none"/>
          <w:vertAlign w:val="baseline"/>
          <w:lang w:val="fr-FR"/>
        </w:rPr>
        <w:t>Inventaire des opérations à terme de devises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BC74000470F28E0B11DC223B61665F15 "" </w:instrText>
      </w:r>
      <w:r>
        <w:rPr>
          <w:rFonts w:ascii="Arial" w:eastAsia="Arial" w:hAnsi="Arial" w:cs="Arial"/>
          <w:b w:val="0"/>
          <w:i w:val="0"/>
          <w:strike w:val="0"/>
          <w:color w:val="000000"/>
          <w:sz w:val="0"/>
          <w:u w:val="none"/>
          <w:vertAlign w:val="baseline"/>
          <w:lang w:val="fr-FR"/>
        </w:rPr>
        <w:fldChar w:fldCharType="separate"/>
      </w:r>
      <w:bookmarkStart w:id="93" w:name="BC74000470F28E0B11DC223B61665F15"/>
      <w:bookmarkEnd w:id="9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176"/>
        <w:gridCol w:w="1377"/>
        <w:gridCol w:w="1397"/>
        <w:gridCol w:w="839"/>
        <w:gridCol w:w="1497"/>
        <w:gridCol w:w="839"/>
        <w:gridCol w:w="1497"/>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livrer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4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r>
      <w:tr>
        <w:tblPrEx>
          <w:tblW w:w="5000" w:type="pct"/>
          <w:tblInd w:w="0" w:type="dxa"/>
          <w:tblLayout w:type="fixed"/>
          <w:tblCellMar>
            <w:left w:w="108" w:type="dxa"/>
            <w:right w:w="108" w:type="dxa"/>
          </w:tblCellMar>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 exprimé dans la devise de comptabilisation.</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48"/>
          <w:footerReference w:type="default" r:id="rId49"/>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774466EEA0EAAD5E8EDBAFA5A6631A9B "" </w:instrText>
      </w:r>
      <w:r>
        <w:rPr>
          <w:rFonts w:ascii="Arial" w:eastAsia="Arial" w:hAnsi="Arial" w:cs="Arial"/>
          <w:b w:val="0"/>
          <w:i w:val="0"/>
          <w:strike w:val="0"/>
          <w:color w:val="000000"/>
          <w:sz w:val="0"/>
          <w:u w:val="none"/>
          <w:vertAlign w:val="baseline"/>
          <w:lang w:val="fr-FR"/>
        </w:rPr>
        <w:fldChar w:fldCharType="separate"/>
      </w:r>
      <w:bookmarkStart w:id="94" w:name="774466EEA0EAAD5E8EDBAFA5A6631A9B"/>
      <w:bookmarkEnd w:id="94"/>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95" w:name="Inventaire des instruments financiers à "/>
      <w:bookmarkEnd w:id="95"/>
      <w:r>
        <w:rPr>
          <w:rFonts w:ascii="Arial" w:eastAsia="Arial" w:hAnsi="Arial" w:cs="Arial"/>
          <w:b/>
          <w:i w:val="0"/>
          <w:strike w:val="0"/>
          <w:color w:val="232323"/>
          <w:sz w:val="24"/>
          <w:u w:val="none"/>
          <w:vertAlign w:val="baseline"/>
          <w:lang w:val="fr-FR"/>
        </w:rPr>
        <w:t>Inventaire des instruments financiers à terme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96" w:name="BK_3FE7834DDA19A5F7489E5CE0DC3E3989"/>
      <w:bookmarkEnd w:id="96"/>
      <w:r>
        <w:rPr>
          <w:rFonts w:ascii="Arial" w:eastAsia="Arial" w:hAnsi="Arial" w:cs="Arial"/>
          <w:b w:val="0"/>
          <w:i w:val="0"/>
          <w:strike w:val="0"/>
          <w:color w:val="FFFFFF"/>
          <w:sz w:val="2"/>
          <w:u w:val="none"/>
          <w:vertAlign w:val="baseline"/>
          <w:lang w:val="fr-FR"/>
        </w:rPr>
        <w:t>Inventaire des instruments financiers à terme</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52E889B2A1999CF27FBEF72D6544A8E2 "" </w:instrText>
      </w:r>
      <w:r>
        <w:rPr>
          <w:rFonts w:ascii="Arial" w:eastAsia="Arial" w:hAnsi="Arial" w:cs="Arial"/>
          <w:b w:val="0"/>
          <w:i w:val="0"/>
          <w:strike w:val="0"/>
          <w:color w:val="000000"/>
          <w:sz w:val="0"/>
          <w:u w:val="none"/>
          <w:vertAlign w:val="baseline"/>
          <w:lang w:val="fr-FR"/>
        </w:rPr>
        <w:fldChar w:fldCharType="separate"/>
      </w:r>
      <w:bookmarkStart w:id="97" w:name="52E889B2A1999CF27FBEF72D6544A8E2"/>
      <w:bookmarkEnd w:id="9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E18FF48AC6F903D1004983AFB0D41828 "" </w:instrText>
      </w:r>
      <w:r>
        <w:rPr>
          <w:rFonts w:ascii="Arial" w:eastAsia="Arial" w:hAnsi="Arial" w:cs="Arial"/>
          <w:b w:val="0"/>
          <w:i w:val="0"/>
          <w:strike w:val="0"/>
          <w:color w:val="000000"/>
          <w:sz w:val="0"/>
          <w:u w:val="none"/>
          <w:vertAlign w:val="baseline"/>
          <w:lang w:val="fr-FR"/>
        </w:rPr>
        <w:fldChar w:fldCharType="separate"/>
      </w:r>
      <w:bookmarkStart w:id="98" w:name="E18FF48AC6F903D1004983AFB0D41828"/>
      <w:bookmarkEnd w:id="98"/>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actions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99" w:name="BK_0CCF3D50BE45166626D58EE3B669B62D"/>
      <w:bookmarkEnd w:id="9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9DC5077818218595E5016A264635F0AE "" </w:instrText>
      </w:r>
      <w:r>
        <w:rPr>
          <w:rFonts w:ascii="Arial" w:eastAsia="Arial" w:hAnsi="Arial" w:cs="Arial"/>
          <w:b w:val="0"/>
          <w:i w:val="0"/>
          <w:strike w:val="0"/>
          <w:color w:val="000000"/>
          <w:sz w:val="0"/>
          <w:u w:val="none"/>
          <w:vertAlign w:val="baseline"/>
          <w:lang w:val="fr-FR"/>
        </w:rPr>
        <w:fldChar w:fldCharType="separate"/>
      </w:r>
      <w:bookmarkStart w:id="100" w:name="9DC5077818218595E5016A264635F0AE"/>
      <w:bookmarkEnd w:id="10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50"/>
          <w:footerReference w:type="default" r:id="rId51"/>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A18C9F190E2A0C59AB706D951B510310 "" </w:instrText>
      </w:r>
      <w:r>
        <w:rPr>
          <w:rFonts w:ascii="Arial" w:eastAsia="Arial" w:hAnsi="Arial" w:cs="Arial"/>
          <w:b w:val="0"/>
          <w:i w:val="0"/>
          <w:strike w:val="0"/>
          <w:color w:val="000000"/>
          <w:sz w:val="0"/>
          <w:u w:val="none"/>
          <w:vertAlign w:val="baseline"/>
          <w:lang w:val="fr-FR"/>
        </w:rPr>
        <w:fldChar w:fldCharType="separate"/>
      </w:r>
      <w:bookmarkStart w:id="101" w:name="A18C9F190E2A0C59AB706D951B510310"/>
      <w:bookmarkEnd w:id="101"/>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taux d'intérêts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02" w:name="BK_7EB06620CCACE5184C21E20959188D1F"/>
      <w:bookmarkEnd w:id="10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1704E162FE785965E76E00351522A6D0 "" </w:instrText>
      </w:r>
      <w:r>
        <w:rPr>
          <w:rFonts w:ascii="Arial" w:eastAsia="Arial" w:hAnsi="Arial" w:cs="Arial"/>
          <w:b w:val="0"/>
          <w:i w:val="0"/>
          <w:strike w:val="0"/>
          <w:color w:val="000000"/>
          <w:sz w:val="0"/>
          <w:u w:val="none"/>
          <w:vertAlign w:val="baseline"/>
          <w:lang w:val="fr-FR"/>
        </w:rPr>
        <w:fldChar w:fldCharType="separate"/>
      </w:r>
      <w:bookmarkStart w:id="103" w:name="1704E162FE785965E76E00351522A6D0"/>
      <w:bookmarkEnd w:id="10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 SCHATZ 0626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-1 540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1 670 900,00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-162 855 000,00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1 670 900,00</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-162 855 000,00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E3R/0.0/FIX/2.1057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35 830,06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E3R/0.0/FIX/2.1482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-37 275,88</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E3R/0.0/FIX/2.1672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39 303,10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E3R/0.0/FIX/2.1677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-18 734,26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E3R/0.0/FIX/2.2337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-40 473,13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E3R/0.0/FIX/2.7717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-86 637,94</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E3R/0.0/FIX/2.7877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-83 158,00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E3R/0.0/FIX/3.0337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-274 488,63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E3R/0.0/FIX/3.0802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-48 898,63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OISEST/0.0/FIX/1.754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85 871,42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OISEST/0.0/FIX/1.829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161 354,64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OISEST/0.0/FIX/1.829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266 189,36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OISEST/0.0/FIX/1.830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125 438,85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OISEST/0.0/FIX/1.89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66 376,14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OISEST/0.0/FIX/1.905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112 721,63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OISEST/0.0/FIX/1.939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163 899,75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OISEST/0.0/FIX/1.950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164 014,16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OISEST/0.0/FIX/1.997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185 304,88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OISEST/0.0/FIX/2.038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31 159,25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1 437 463,24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-589 666,47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3 108 363,24</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-589 666,47</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27 145 000,00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52"/>
          <w:footerReference w:type="default" r:id="rId53"/>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DAE049D6859ABD4FBD993C34C8D83A58 "" </w:instrText>
      </w:r>
      <w:r>
        <w:rPr>
          <w:rFonts w:ascii="Arial" w:eastAsia="Arial" w:hAnsi="Arial" w:cs="Arial"/>
          <w:b w:val="0"/>
          <w:i w:val="0"/>
          <w:strike w:val="0"/>
          <w:color w:val="000000"/>
          <w:sz w:val="0"/>
          <w:u w:val="none"/>
          <w:vertAlign w:val="baseline"/>
          <w:lang w:val="fr-FR"/>
        </w:rPr>
        <w:fldChar w:fldCharType="separate"/>
      </w:r>
      <w:bookmarkStart w:id="104" w:name="DAE049D6859ABD4FBD993C34C8D83A58"/>
      <w:bookmarkEnd w:id="104"/>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de change</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05" w:name="BK_35EFD357CAB5D03B39935ACEFF9F1C44"/>
      <w:bookmarkEnd w:id="10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4A038CA7E0D91DC79829CD00AAE8C41C "" </w:instrText>
      </w:r>
      <w:r>
        <w:rPr>
          <w:rFonts w:ascii="Arial" w:eastAsia="Arial" w:hAnsi="Arial" w:cs="Arial"/>
          <w:b w:val="0"/>
          <w:i w:val="0"/>
          <w:strike w:val="0"/>
          <w:color w:val="000000"/>
          <w:sz w:val="0"/>
          <w:u w:val="none"/>
          <w:vertAlign w:val="baseline"/>
          <w:lang w:val="fr-FR"/>
        </w:rPr>
        <w:fldChar w:fldCharType="separate"/>
      </w:r>
      <w:bookmarkStart w:id="106" w:name="4A038CA7E0D91DC79829CD00AAE8C41C"/>
      <w:bookmarkEnd w:id="10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0762EFDAFB096EC2A75D7602EA6583FC "" </w:instrText>
      </w:r>
      <w:r>
        <w:rPr>
          <w:rFonts w:ascii="Arial" w:eastAsia="Arial" w:hAnsi="Arial" w:cs="Arial"/>
          <w:b w:val="0"/>
          <w:i w:val="0"/>
          <w:strike w:val="0"/>
          <w:color w:val="000000"/>
          <w:sz w:val="0"/>
          <w:u w:val="none"/>
          <w:vertAlign w:val="baseline"/>
          <w:lang w:val="fr-FR"/>
        </w:rPr>
        <w:fldChar w:fldCharType="separate"/>
      </w:r>
      <w:bookmarkStart w:id="107" w:name="0762EFDAFB096EC2A75D7602EA6583FC"/>
      <w:bookmarkEnd w:id="107"/>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sur risque de crédit</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08" w:name="BK_EA55CB4062310CE49C2FA609891ECFCA"/>
      <w:bookmarkEnd w:id="108"/>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C158C9BF072CB4D67345D5AA119AD3F5 "" </w:instrText>
      </w:r>
      <w:r>
        <w:rPr>
          <w:rFonts w:ascii="Arial" w:eastAsia="Arial" w:hAnsi="Arial" w:cs="Arial"/>
          <w:b w:val="0"/>
          <w:i w:val="0"/>
          <w:strike w:val="0"/>
          <w:color w:val="000000"/>
          <w:sz w:val="0"/>
          <w:u w:val="none"/>
          <w:vertAlign w:val="baseline"/>
          <w:lang w:val="fr-FR"/>
        </w:rPr>
        <w:fldChar w:fldCharType="separate"/>
      </w:r>
      <w:bookmarkStart w:id="109" w:name="C158C9BF072CB4D67345D5AA119AD3F5"/>
      <w:bookmarkEnd w:id="10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54"/>
          <w:footerReference w:type="default" r:id="rId55"/>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D0B8E4D6FC6DCA546B1B9C594D324094 "" </w:instrText>
      </w:r>
      <w:r>
        <w:rPr>
          <w:rFonts w:ascii="Arial" w:eastAsia="Arial" w:hAnsi="Arial" w:cs="Arial"/>
          <w:b w:val="0"/>
          <w:i w:val="0"/>
          <w:strike w:val="0"/>
          <w:color w:val="000000"/>
          <w:sz w:val="0"/>
          <w:u w:val="none"/>
          <w:vertAlign w:val="baseline"/>
          <w:lang w:val="fr-FR"/>
        </w:rPr>
        <w:fldChar w:fldCharType="separate"/>
      </w:r>
      <w:bookmarkStart w:id="110" w:name="D0B8E4D6FC6DCA546B1B9C594D324094"/>
      <w:bookmarkEnd w:id="110"/>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autres expositions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11" w:name="BK_7BB7E4EAED723F8B680E5B6F522C62B9"/>
      <w:bookmarkEnd w:id="111"/>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7FE7380BAEF17F5670D586332AB1FAB4 "" </w:instrText>
      </w:r>
      <w:r>
        <w:rPr>
          <w:rFonts w:ascii="Arial" w:eastAsia="Arial" w:hAnsi="Arial" w:cs="Arial"/>
          <w:b w:val="0"/>
          <w:i w:val="0"/>
          <w:strike w:val="0"/>
          <w:color w:val="000000"/>
          <w:sz w:val="0"/>
          <w:u w:val="none"/>
          <w:vertAlign w:val="baseline"/>
          <w:lang w:val="fr-FR"/>
        </w:rPr>
        <w:fldChar w:fldCharType="separate"/>
      </w:r>
      <w:bookmarkStart w:id="112" w:name="7FE7380BAEF17F5670D586332AB1FAB4"/>
      <w:bookmarkEnd w:id="11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9A0E8DC4A7D018EC24B78652F8517FBD "" </w:instrText>
      </w:r>
      <w:r>
        <w:rPr>
          <w:rFonts w:ascii="Arial" w:eastAsia="Arial" w:hAnsi="Arial" w:cs="Arial"/>
          <w:b w:val="0"/>
          <w:i w:val="0"/>
          <w:strike w:val="0"/>
          <w:color w:val="000000"/>
          <w:sz w:val="0"/>
          <w:u w:val="none"/>
          <w:vertAlign w:val="baseline"/>
          <w:lang w:val="fr-FR"/>
        </w:rPr>
        <w:fldChar w:fldCharType="separate"/>
      </w:r>
      <w:bookmarkStart w:id="113" w:name="9A0E8DC4A7D018EC24B78652F8517FBD"/>
      <w:bookmarkEnd w:id="113"/>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Inventaire des instruments financiers à terme ou des opérations à terme de devises utilisés en couverture d'une catégorie de part</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14" w:name="BK_767E7A61112260BD3A36615A069EA1E8"/>
      <w:bookmarkEnd w:id="114"/>
      <w:r>
        <w:rPr>
          <w:rFonts w:ascii="Arial" w:eastAsia="Arial" w:hAnsi="Arial" w:cs="Arial"/>
          <w:b w:val="0"/>
          <w:i w:val="0"/>
          <w:strike w:val="0"/>
          <w:color w:val="FFFFFF"/>
          <w:sz w:val="2"/>
          <w:u w:val="none"/>
          <w:vertAlign w:val="baseline"/>
          <w:lang w:val="fr-FR"/>
        </w:rPr>
        <w:t>Inventaire des instruments financiers à terme ou des opérations à terme de devises utilisés en couverture d'une catégorie de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B6917FEF6D01DFDC2497231D5C1EC7BE "" </w:instrText>
      </w:r>
      <w:r>
        <w:rPr>
          <w:rFonts w:ascii="Arial" w:eastAsia="Arial" w:hAnsi="Arial" w:cs="Arial"/>
          <w:b w:val="0"/>
          <w:i w:val="0"/>
          <w:strike w:val="0"/>
          <w:color w:val="000000"/>
          <w:sz w:val="0"/>
          <w:u w:val="none"/>
          <w:vertAlign w:val="baseline"/>
          <w:lang w:val="fr-FR"/>
        </w:rPr>
        <w:fldChar w:fldCharType="separate"/>
      </w:r>
      <w:bookmarkStart w:id="115" w:name="B6917FEF6D01DFDC2497231D5C1EC7BE"/>
      <w:bookmarkEnd w:id="115"/>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bottom w:val="none" w:sz="0" w:space="0" w:color="auto"/>
        </w:pBdr>
        <w:bidi w:val="0"/>
        <w:spacing w:before="0" w:after="15" w:line="240" w:lineRule="auto"/>
        <w:ind w:left="0" w:right="0"/>
        <w:jc w:val="both"/>
        <w:rPr>
          <w:rFonts w:ascii="Arial" w:eastAsia="Arial" w:hAnsi="Arial" w:cs="Arial"/>
          <w:b w:val="0"/>
          <w:i w:val="0"/>
          <w:strike w:val="0"/>
          <w:color w:val="232323"/>
          <w:sz w:val="20"/>
          <w:u w:val="none"/>
          <w:vertAlign w:val="baseline"/>
          <w:lang w:val="fr-FR"/>
        </w:rPr>
      </w:pPr>
      <w:r>
        <w:rPr>
          <w:rFonts w:ascii="Arial" w:eastAsia="Arial" w:hAnsi="Arial" w:cs="Arial"/>
          <w:b w:val="0"/>
          <w:i w:val="0"/>
          <w:strike w:val="0"/>
          <w:color w:val="232323"/>
          <w:sz w:val="20"/>
          <w:u w:val="none"/>
          <w:vertAlign w:val="baseline"/>
          <w:lang w:val="fr-FR"/>
        </w:rPr>
        <w:t>L’OPC sous revue n’est pas concerné par cette rubrique.</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56"/>
          <w:footerReference w:type="default" r:id="rId57"/>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2B15870EDF13D40802FA2FDFA50C2389 "" </w:instrText>
      </w:r>
      <w:r>
        <w:rPr>
          <w:rFonts w:ascii="Arial" w:eastAsia="Arial" w:hAnsi="Arial" w:cs="Arial"/>
          <w:b w:val="0"/>
          <w:i w:val="0"/>
          <w:strike w:val="0"/>
          <w:color w:val="000000"/>
          <w:sz w:val="0"/>
          <w:u w:val="none"/>
          <w:vertAlign w:val="baseline"/>
          <w:lang w:val="fr-FR"/>
        </w:rPr>
        <w:fldChar w:fldCharType="separate"/>
      </w:r>
      <w:bookmarkStart w:id="116" w:name="2B15870EDF13D40802FA2FDFA50C2389"/>
      <w:bookmarkEnd w:id="116"/>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117" w:name="Synthèse de l’inventaire"/>
      <w:bookmarkEnd w:id="117"/>
      <w:r>
        <w:rPr>
          <w:rFonts w:ascii="Arial" w:eastAsia="Arial" w:hAnsi="Arial" w:cs="Arial"/>
          <w:b/>
          <w:i w:val="0"/>
          <w:strike w:val="0"/>
          <w:color w:val="232323"/>
          <w:sz w:val="24"/>
          <w:u w:val="none"/>
          <w:vertAlign w:val="baseline"/>
          <w:lang w:val="fr-FR"/>
        </w:rPr>
        <w:t>Synthèse de l’inventaire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18" w:name="BK_22038808FD5EFA8B055C6C27819604C2"/>
      <w:bookmarkEnd w:id="118"/>
      <w:r>
        <w:rPr>
          <w:rFonts w:ascii="Arial" w:eastAsia="Arial" w:hAnsi="Arial" w:cs="Arial"/>
          <w:b w:val="0"/>
          <w:i w:val="0"/>
          <w:strike w:val="0"/>
          <w:color w:val="FFFFFF"/>
          <w:sz w:val="2"/>
          <w:u w:val="none"/>
          <w:vertAlign w:val="baseline"/>
          <w:lang w:val="fr-FR"/>
        </w:rPr>
        <w:t>Synthèse de l’inventaire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9EA29795CE04A193F2C3702ADC3BBA7E "" </w:instrText>
      </w:r>
      <w:r>
        <w:rPr>
          <w:rFonts w:ascii="Arial" w:eastAsia="Arial" w:hAnsi="Arial" w:cs="Arial"/>
          <w:b w:val="0"/>
          <w:i w:val="0"/>
          <w:strike w:val="0"/>
          <w:color w:val="000000"/>
          <w:sz w:val="0"/>
          <w:u w:val="none"/>
          <w:vertAlign w:val="baseline"/>
          <w:lang w:val="fr-FR"/>
        </w:rPr>
        <w:fldChar w:fldCharType="separate"/>
      </w:r>
      <w:bookmarkStart w:id="119" w:name="9EA29795CE04A193F2C3702ADC3BBA7E"/>
      <w:bookmarkEnd w:id="11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1"/>
        <w:gridCol w:w="289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740" w:type="dxa"/>
            <w:tcBorders>
              <w:bottom w:val="single" w:sz="6" w:space="0" w:color="000000"/>
            </w:tcBorders>
            <w:tcMar>
              <w:top w:w="0" w:type="dxa"/>
              <w:left w:w="0" w:type="dxa"/>
              <w:bottom w:w="0" w:type="dxa"/>
              <w:right w:w="0" w:type="dxa"/>
            </w:tcMar>
            <w:vAlign w:val="bottom"/>
          </w:tcPr>
          <w:p>
            <w:pPr>
              <w:pStyle w:val="EnteteTabNoBordureUpNoGras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r>
      <w:tr>
        <w:tblPrEx>
          <w:tblW w:w="5000" w:type="pct"/>
          <w:tblInd w:w="0" w:type="dxa"/>
          <w:tblLayout w:type="fixed"/>
          <w:tblCellMar>
            <w:left w:w="108" w:type="dxa"/>
            <w:right w:w="108" w:type="dxa"/>
          </w:tblCellMar>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pPr>
              <w:pStyle w:val="Tab1FirstColNonGrasBordureUp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1 438 175 094,50</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2 518 696,77</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24 694 132,33</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-14 868 008,94</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38"/>
        </w:trPr>
        <w:tc>
          <w:tcPr>
            <w:tcW w:w="6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1 450 519 914,66</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4292"/>
        <w:gridCol w:w="1398"/>
        <w:gridCol w:w="1976"/>
        <w:gridCol w:w="195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liquidative</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CREDIT 6 MOIS ISR I-C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9 173,0560</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115 827,76</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CREDIT 6 MOIS ISR O-C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1 567,928</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11 075,70</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CREDIT 6 MOIS ISR P-C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1 438,7279</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11 328,05</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CREDIT 6 MOIS ISR R-C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1,0000</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111,09</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CREDIT 6 MOIS ISR S-C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321 779,104</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1 101,25</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sectPr>
      <w:headerReference w:type="default" r:id="rId58"/>
      <w:footerReference w:type="default" r:id="rId59"/>
      <w:pgSz w:w="11900" w:h="16840"/>
      <w:pgMar w:top="2154" w:right="1134" w:bottom="1134" w:left="1134" w:header="400" w:footer="40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embedRegular r:id="rId1" w:subsetted="1" w:fontKey="{29F92EC3-4058-449F-93C5-E6E3CB814A91}"/>
  </w:font>
  <w:font w:name="Arial">
    <w:panose1 w:val="020B0604020202020204"/>
    <w:charset w:val="CC"/>
    <w:family w:val="swiss"/>
    <w:pitch w:val="variable"/>
    <w:sig w:usb0="20007A87" w:usb1="80000000" w:usb2="00000008" w:usb3="00000000" w:csb0="000001FF" w:csb1="00000000"/>
    <w:embedRegular r:id="rId2" w:subsetted="1" w:fontKey="{30688FD0-230C-483F-8443-394BFC92C71E}"/>
    <w:embedBold r:id="rId3" w:subsetted="1" w:fontKey="{E94B3F8A-5C20-40B3-A1FC-947608CD6FE6}"/>
  </w:font>
  <w:font w:name="Calibri">
    <w:panose1 w:val="020F0502020204030204"/>
    <w:charset w:val="00"/>
    <w:family w:val="swiss"/>
    <w:pitch w:val="variable"/>
    <w:sig w:usb0="00000000" w:usb1="00000000" w:usb2="00000000" w:usb3="00000000" w:csb0="00000001" w:csb1="00000000"/>
    <w:embedBold r:id="rId4" w:subsetted="1" w:fontKey="{789A355E-93B5-4463-9808-A248DA744BDA}"/>
  </w:font>
  <w:font w:name="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10</w:t>
          </w:r>
          <w:r>
            <w:rPr>
              <w:rFonts w:ascii="Arial" w:eastAsia="Arial" w:hAnsi="Arial" w:cs="Arial"/>
              <w:b w:val="0"/>
              <w:i w:val="0"/>
              <w:strike w:val="0"/>
              <w:color w:val="000000"/>
              <w:sz w:val="16"/>
              <w:u w:val="none"/>
              <w:vertAlign w:val="baseline"/>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11</w:t>
          </w:r>
          <w:r>
            <w:rPr>
              <w:rFonts w:ascii="Arial" w:eastAsia="Arial" w:hAnsi="Arial" w:cs="Arial"/>
              <w:b w:val="0"/>
              <w:i w:val="0"/>
              <w:strike w:val="0"/>
              <w:color w:val="000000"/>
              <w:sz w:val="16"/>
              <w:u w:val="none"/>
              <w:vertAlign w:val="baseline"/>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12</w:t>
          </w:r>
          <w:r>
            <w:rPr>
              <w:rFonts w:ascii="Arial" w:eastAsia="Arial" w:hAnsi="Arial" w:cs="Arial"/>
              <w:b w:val="0"/>
              <w:i w:val="0"/>
              <w:strike w:val="0"/>
              <w:color w:val="000000"/>
              <w:sz w:val="16"/>
              <w:u w:val="none"/>
              <w:vertAlign w:val="baseline"/>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13</w:t>
          </w:r>
          <w:r>
            <w:rPr>
              <w:rFonts w:ascii="Arial" w:eastAsia="Arial" w:hAnsi="Arial" w:cs="Arial"/>
              <w:b w:val="0"/>
              <w:i w:val="0"/>
              <w:strike w:val="0"/>
              <w:color w:val="000000"/>
              <w:sz w:val="16"/>
              <w:u w:val="none"/>
              <w:vertAlign w:val="baseline"/>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14</w:t>
          </w:r>
          <w:r>
            <w:rPr>
              <w:rFonts w:ascii="Arial" w:eastAsia="Arial" w:hAnsi="Arial" w:cs="Arial"/>
              <w:b w:val="0"/>
              <w:i w:val="0"/>
              <w:strike w:val="0"/>
              <w:color w:val="000000"/>
              <w:sz w:val="16"/>
              <w:u w:val="none"/>
              <w:vertAlign w:val="baseline"/>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15</w:t>
          </w:r>
          <w:r>
            <w:rPr>
              <w:rFonts w:ascii="Arial" w:eastAsia="Arial" w:hAnsi="Arial" w:cs="Arial"/>
              <w:b w:val="0"/>
              <w:i w:val="0"/>
              <w:strike w:val="0"/>
              <w:color w:val="000000"/>
              <w:sz w:val="16"/>
              <w:u w:val="none"/>
              <w:vertAlign w:val="baseline"/>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16</w:t>
          </w:r>
          <w:r>
            <w:rPr>
              <w:rFonts w:ascii="Arial" w:eastAsia="Arial" w:hAnsi="Arial" w:cs="Arial"/>
              <w:b w:val="0"/>
              <w:i w:val="0"/>
              <w:strike w:val="0"/>
              <w:color w:val="000000"/>
              <w:sz w:val="16"/>
              <w:u w:val="none"/>
              <w:vertAlign w:val="baseline"/>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17</w:t>
          </w:r>
          <w:r>
            <w:rPr>
              <w:rFonts w:ascii="Arial" w:eastAsia="Arial" w:hAnsi="Arial" w:cs="Arial"/>
              <w:b w:val="0"/>
              <w:i w:val="0"/>
              <w:strike w:val="0"/>
              <w:color w:val="000000"/>
              <w:sz w:val="16"/>
              <w:u w:val="none"/>
              <w:vertAlign w:val="baseline"/>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18</w:t>
          </w:r>
          <w:r>
            <w:rPr>
              <w:rFonts w:ascii="Arial" w:eastAsia="Arial" w:hAnsi="Arial" w:cs="Arial"/>
              <w:b w:val="0"/>
              <w:i w:val="0"/>
              <w:strike w:val="0"/>
              <w:color w:val="000000"/>
              <w:sz w:val="16"/>
              <w:u w:val="none"/>
              <w:vertAlign w:val="baseline"/>
              <w:lang w:val="fr-FR"/>
            </w:rP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19</w:t>
          </w:r>
          <w:r>
            <w:rPr>
              <w:rFonts w:ascii="Arial" w:eastAsia="Arial" w:hAnsi="Arial" w:cs="Arial"/>
              <w:b w:val="0"/>
              <w:i w:val="0"/>
              <w:strike w:val="0"/>
              <w:color w:val="000000"/>
              <w:sz w:val="16"/>
              <w:u w:val="none"/>
              <w:vertAlign w:val="baseline"/>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w:t>
          </w:r>
          <w:r>
            <w:rPr>
              <w:rFonts w:ascii="Arial" w:eastAsia="Arial" w:hAnsi="Arial" w:cs="Arial"/>
              <w:b w:val="0"/>
              <w:i w:val="0"/>
              <w:strike w:val="0"/>
              <w:color w:val="000000"/>
              <w:sz w:val="16"/>
              <w:u w:val="none"/>
              <w:vertAlign w:val="baseline"/>
              <w:lang w:val="fr-FR"/>
            </w:rP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20</w:t>
          </w:r>
          <w:r>
            <w:rPr>
              <w:rFonts w:ascii="Arial" w:eastAsia="Arial" w:hAnsi="Arial" w:cs="Arial"/>
              <w:b w:val="0"/>
              <w:i w:val="0"/>
              <w:strike w:val="0"/>
              <w:color w:val="000000"/>
              <w:sz w:val="16"/>
              <w:u w:val="none"/>
              <w:vertAlign w:val="baseline"/>
              <w:lang w:val="fr-FR"/>
            </w:rPr>
            <w:fldChar w:fldCharType="end"/>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21</w:t>
          </w:r>
          <w:r>
            <w:rPr>
              <w:rFonts w:ascii="Arial" w:eastAsia="Arial" w:hAnsi="Arial" w:cs="Arial"/>
              <w:b w:val="0"/>
              <w:i w:val="0"/>
              <w:strike w:val="0"/>
              <w:color w:val="000000"/>
              <w:sz w:val="16"/>
              <w:u w:val="none"/>
              <w:vertAlign w:val="baseline"/>
              <w:lang w:val="fr-FR"/>
            </w:rPr>
            <w:fldChar w:fldCharType="end"/>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22</w:t>
          </w:r>
          <w:r>
            <w:rPr>
              <w:rFonts w:ascii="Arial" w:eastAsia="Arial" w:hAnsi="Arial" w:cs="Arial"/>
              <w:b w:val="0"/>
              <w:i w:val="0"/>
              <w:strike w:val="0"/>
              <w:color w:val="000000"/>
              <w:sz w:val="16"/>
              <w:u w:val="none"/>
              <w:vertAlign w:val="baseline"/>
              <w:lang w:val="fr-FR"/>
            </w:rPr>
            <w:fldChar w:fldCharType="end"/>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23</w:t>
          </w:r>
          <w:r>
            <w:rPr>
              <w:rFonts w:ascii="Arial" w:eastAsia="Arial" w:hAnsi="Arial" w:cs="Arial"/>
              <w:b w:val="0"/>
              <w:i w:val="0"/>
              <w:strike w:val="0"/>
              <w:color w:val="000000"/>
              <w:sz w:val="16"/>
              <w:u w:val="none"/>
              <w:vertAlign w:val="baseline"/>
              <w:lang w:val="fr-FR"/>
            </w:rPr>
            <w:fldChar w:fldCharType="end"/>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24</w:t>
          </w:r>
          <w:r>
            <w:rPr>
              <w:rFonts w:ascii="Arial" w:eastAsia="Arial" w:hAnsi="Arial" w:cs="Arial"/>
              <w:b w:val="0"/>
              <w:i w:val="0"/>
              <w:strike w:val="0"/>
              <w:color w:val="000000"/>
              <w:sz w:val="16"/>
              <w:u w:val="none"/>
              <w:vertAlign w:val="baseline"/>
              <w:lang w:val="fr-FR"/>
            </w:rPr>
            <w:fldChar w:fldCharType="end"/>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25</w:t>
          </w:r>
          <w:r>
            <w:rPr>
              <w:rFonts w:ascii="Arial" w:eastAsia="Arial" w:hAnsi="Arial" w:cs="Arial"/>
              <w:b w:val="0"/>
              <w:i w:val="0"/>
              <w:strike w:val="0"/>
              <w:color w:val="000000"/>
              <w:sz w:val="16"/>
              <w:u w:val="none"/>
              <w:vertAlign w:val="baseline"/>
              <w:lang w:val="fr-FR"/>
            </w:rPr>
            <w:fldChar w:fldCharType="end"/>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26</w:t>
          </w:r>
          <w:r>
            <w:rPr>
              <w:rFonts w:ascii="Arial" w:eastAsia="Arial" w:hAnsi="Arial" w:cs="Arial"/>
              <w:b w:val="0"/>
              <w:i w:val="0"/>
              <w:strike w:val="0"/>
              <w:color w:val="000000"/>
              <w:sz w:val="16"/>
              <w:u w:val="none"/>
              <w:vertAlign w:val="baseline"/>
              <w:lang w:val="fr-FR"/>
            </w:rPr>
            <w:fldChar w:fldCharType="end"/>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27</w:t>
          </w:r>
          <w:r>
            <w:rPr>
              <w:rFonts w:ascii="Arial" w:eastAsia="Arial" w:hAnsi="Arial" w:cs="Arial"/>
              <w:b w:val="0"/>
              <w:i w:val="0"/>
              <w:strike w:val="0"/>
              <w:color w:val="000000"/>
              <w:sz w:val="16"/>
              <w:u w:val="none"/>
              <w:vertAlign w:val="baseline"/>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3</w:t>
          </w:r>
          <w:r>
            <w:rPr>
              <w:rFonts w:ascii="Arial" w:eastAsia="Arial" w:hAnsi="Arial" w:cs="Arial"/>
              <w:b w:val="0"/>
              <w:i w:val="0"/>
              <w:strike w:val="0"/>
              <w:color w:val="000000"/>
              <w:sz w:val="16"/>
              <w:u w:val="none"/>
              <w:vertAlign w:val="baseline"/>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4</w:t>
          </w:r>
          <w:r>
            <w:rPr>
              <w:rFonts w:ascii="Arial" w:eastAsia="Arial" w:hAnsi="Arial" w:cs="Arial"/>
              <w:b w:val="0"/>
              <w:i w:val="0"/>
              <w:strike w:val="0"/>
              <w:color w:val="000000"/>
              <w:sz w:val="16"/>
              <w:u w:val="none"/>
              <w:vertAlign w:val="baseline"/>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5</w:t>
          </w:r>
          <w:r>
            <w:rPr>
              <w:rFonts w:ascii="Arial" w:eastAsia="Arial" w:hAnsi="Arial" w:cs="Arial"/>
              <w:b w:val="0"/>
              <w:i w:val="0"/>
              <w:strike w:val="0"/>
              <w:color w:val="000000"/>
              <w:sz w:val="16"/>
              <w:u w:val="none"/>
              <w:vertAlign w:val="baseline"/>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6</w:t>
          </w:r>
          <w:r>
            <w:rPr>
              <w:rFonts w:ascii="Arial" w:eastAsia="Arial" w:hAnsi="Arial" w:cs="Arial"/>
              <w:b w:val="0"/>
              <w:i w:val="0"/>
              <w:strike w:val="0"/>
              <w:color w:val="000000"/>
              <w:sz w:val="16"/>
              <w:u w:val="none"/>
              <w:vertAlign w:val="baseline"/>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7</w:t>
          </w:r>
          <w:r>
            <w:rPr>
              <w:rFonts w:ascii="Arial" w:eastAsia="Arial" w:hAnsi="Arial" w:cs="Arial"/>
              <w:b w:val="0"/>
              <w:i w:val="0"/>
              <w:strike w:val="0"/>
              <w:color w:val="000000"/>
              <w:sz w:val="16"/>
              <w:u w:val="none"/>
              <w:vertAlign w:val="baseline"/>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8</w:t>
          </w:r>
          <w:r>
            <w:rPr>
              <w:rFonts w:ascii="Arial" w:eastAsia="Arial" w:hAnsi="Arial" w:cs="Arial"/>
              <w:b w:val="0"/>
              <w:i w:val="0"/>
              <w:strike w:val="0"/>
              <w:color w:val="000000"/>
              <w:sz w:val="16"/>
              <w:u w:val="none"/>
              <w:vertAlign w:val="baseline"/>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31/03/2026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9</w:t>
          </w:r>
          <w:r>
            <w:rPr>
              <w:rFonts w:ascii="Arial" w:eastAsia="Arial" w:hAnsi="Arial" w:cs="Arial"/>
              <w:b w:val="0"/>
              <w:i w:val="0"/>
              <w:strike w:val="0"/>
              <w:color w:val="000000"/>
              <w:sz w:val="16"/>
              <w:u w:val="none"/>
              <w:vertAlign w:val="baseline"/>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CREDIT 6 MOIS ISR</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92A59"/>
    <w:rsid w:val="001B1EB4"/>
    <w:rsid w:val="002824CB"/>
    <w:rsid w:val="0030702B"/>
    <w:rsid w:val="003A565B"/>
    <w:rsid w:val="0042331D"/>
    <w:rsid w:val="005223D0"/>
    <w:rsid w:val="00777047"/>
    <w:rsid w:val="00CD0EFB"/>
    <w:rsid w:val="00F06021"/>
    <w:rsid w:val="00F06268"/>
    <w:rsid w:val="00F82154"/>
    <w:rsid w:val="00FA2962"/>
    <w:rsid w:val="00FC0743"/>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0" w:after="0" w:line="240" w:lineRule="auto"/>
      <w:ind w:left="0" w:right="0" w:firstLine="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0" w:after="0" w:line="240" w:lineRule="auto"/>
      <w:ind w:left="0" w:right="0" w:firstLine="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before="0" w:after="160" w:line="240" w:lineRule="auto"/>
      <w:ind w:left="0" w:right="0" w:firstLine="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before="0" w:after="0" w:line="240" w:lineRule="auto"/>
      <w:ind w:left="0" w:right="0" w:firstLine="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line="240" w:lineRule="auto"/>
      <w:ind w:left="0" w:right="0" w:firstLine="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spacing w:before="0" w:after="0" w:line="240" w:lineRule="auto"/>
      <w:ind w:left="0" w:right="0" w:firstLine="0"/>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spacing w:before="0" w:after="0" w:line="240" w:lineRule="auto"/>
      <w:ind w:left="0" w:right="0" w:firstLine="0"/>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0" w:after="0" w:line="240" w:lineRule="auto"/>
      <w:ind w:left="0" w:right="0" w:firstLine="0"/>
      <w:jc w:val="both"/>
      <w:outlineLvl w:val="7"/>
    </w:pPr>
    <w:rPr>
      <w:rFonts w:ascii="Arial" w:eastAsia="Arial" w:hAnsi="Arial" w:cs="Arial"/>
      <w:i/>
      <w:iCs/>
      <w:color w:val="232323"/>
      <w:sz w:val="18"/>
    </w:rPr>
  </w:style>
  <w:style w:type="paragraph" w:styleId="Heading9">
    <w:name w:val="heading 9"/>
    <w:basedOn w:val="Normal"/>
    <w:next w:val="Normal"/>
    <w:qFormat/>
    <w:rsid w:val="00EF7B96"/>
    <w:pPr>
      <w:spacing w:before="0" w:after="0" w:line="240" w:lineRule="auto"/>
      <w:ind w:left="0" w:right="0" w:firstLine="0"/>
      <w:jc w:val="both"/>
      <w:outlineLvl w:val="8"/>
    </w:pPr>
    <w:rPr>
      <w:rFonts w:ascii="Arial" w:eastAsia="Arial" w:hAnsi="Arial" w:cs="Arial"/>
      <w:color w:val="232323"/>
      <w:sz w:val="18"/>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mpleStyle">
    <w:name w:val="SimpleStyle"/>
    <w:qFormat/>
    <w:pPr>
      <w:spacing w:before="0" w:after="0" w:line="240" w:lineRule="auto"/>
      <w:ind w:left="0" w:right="0" w:firstLine="0"/>
      <w:jc w:val="both"/>
    </w:pPr>
    <w:rPr>
      <w:rFonts w:ascii="Arial" w:eastAsia="Arial" w:hAnsi="Arial" w:cs="Arial"/>
      <w:color w:val="232323"/>
      <w:sz w:val="18"/>
    </w:rPr>
  </w:style>
  <w:style w:type="paragraph" w:customStyle="1" w:styleId="TechnicalBookmark">
    <w:name w:val="TechnicalBookmark"/>
    <w:qFormat/>
    <w:pPr>
      <w:spacing w:before="0" w:after="0" w:line="240" w:lineRule="auto"/>
      <w:ind w:left="0" w:right="0" w:firstLine="0"/>
      <w:jc w:val="both"/>
    </w:pPr>
    <w:rPr>
      <w:rFonts w:ascii="Arial" w:eastAsia="Arial" w:hAnsi="Arial" w:cs="Arial"/>
      <w:color w:val="000000"/>
      <w:sz w:val="0"/>
    </w:rPr>
  </w:style>
  <w:style w:type="paragraph" w:customStyle="1" w:styleId="RefToc1">
    <w:name w:val="RefToc1"/>
    <w:qFormat/>
    <w:pPr>
      <w:spacing w:before="0" w:after="0" w:line="240" w:lineRule="auto"/>
      <w:ind w:left="0" w:right="0" w:firstLine="0"/>
      <w:jc w:val="both"/>
    </w:pPr>
    <w:rPr>
      <w:rFonts w:ascii="Arial" w:eastAsia="Arial" w:hAnsi="Arial" w:cs="Arial"/>
      <w:color w:val="FFFFFF"/>
      <w:sz w:val="2"/>
    </w:rPr>
  </w:style>
  <w:style w:type="paragraph" w:customStyle="1" w:styleId="RefToc2">
    <w:name w:val="RefToc2"/>
    <w:qFormat/>
    <w:pPr>
      <w:spacing w:before="0" w:after="0" w:line="240" w:lineRule="auto"/>
      <w:ind w:left="0" w:right="0" w:firstLine="0"/>
      <w:jc w:val="both"/>
    </w:pPr>
    <w:rPr>
      <w:rFonts w:ascii="Arial" w:eastAsia="Arial" w:hAnsi="Arial" w:cs="Arial"/>
      <w:color w:val="FFFFFF"/>
      <w:sz w:val="2"/>
    </w:rPr>
  </w:style>
  <w:style w:type="paragraph" w:customStyle="1" w:styleId="RefToc3">
    <w:name w:val="RefToc3"/>
    <w:qFormat/>
    <w:pPr>
      <w:spacing w:before="0" w:after="0" w:line="240" w:lineRule="auto"/>
      <w:ind w:left="0" w:right="0" w:firstLine="0"/>
      <w:jc w:val="both"/>
    </w:pPr>
    <w:rPr>
      <w:rFonts w:ascii="Arial" w:eastAsia="Arial" w:hAnsi="Arial" w:cs="Arial"/>
      <w:color w:val="FFFFFF"/>
      <w:sz w:val="2"/>
    </w:rPr>
  </w:style>
  <w:style w:type="paragraph" w:customStyle="1" w:styleId="RefToc4">
    <w:name w:val="RefToc4"/>
    <w:qFormat/>
    <w:pPr>
      <w:spacing w:before="0" w:after="0" w:line="240" w:lineRule="auto"/>
      <w:ind w:left="0" w:right="0" w:firstLine="0"/>
      <w:jc w:val="both"/>
    </w:pPr>
    <w:rPr>
      <w:rFonts w:ascii="Arial" w:eastAsia="Arial" w:hAnsi="Arial" w:cs="Arial"/>
      <w:color w:val="FFFFFF"/>
      <w:sz w:val="2"/>
    </w:rPr>
  </w:style>
  <w:style w:type="paragraph" w:customStyle="1" w:styleId="RefToc5">
    <w:name w:val="RefToc5"/>
    <w:qFormat/>
    <w:pPr>
      <w:spacing w:before="0" w:after="0" w:line="240" w:lineRule="auto"/>
      <w:ind w:left="0" w:right="0" w:firstLine="0"/>
      <w:jc w:val="both"/>
    </w:pPr>
    <w:rPr>
      <w:rFonts w:ascii="Arial" w:eastAsia="Arial" w:hAnsi="Arial" w:cs="Arial"/>
      <w:color w:val="FFFFFF"/>
      <w:sz w:val="2"/>
    </w:rPr>
  </w:style>
  <w:style w:type="paragraph" w:customStyle="1" w:styleId="RefToc6">
    <w:name w:val="RefToc6"/>
    <w:qFormat/>
    <w:pPr>
      <w:spacing w:before="0" w:after="0" w:line="240" w:lineRule="auto"/>
      <w:ind w:left="0" w:right="0" w:firstLine="0"/>
      <w:jc w:val="both"/>
    </w:pPr>
    <w:rPr>
      <w:rFonts w:ascii="Arial" w:eastAsia="Arial" w:hAnsi="Arial" w:cs="Arial"/>
      <w:color w:val="FFFFFF"/>
      <w:sz w:val="2"/>
    </w:rPr>
  </w:style>
  <w:style w:type="paragraph" w:customStyle="1" w:styleId="RefToc7">
    <w:name w:val="RefToc7"/>
    <w:qFormat/>
    <w:pPr>
      <w:spacing w:before="0" w:after="0" w:line="240" w:lineRule="auto"/>
      <w:ind w:left="0" w:right="0" w:firstLine="0"/>
      <w:jc w:val="both"/>
    </w:pPr>
    <w:rPr>
      <w:rFonts w:ascii="Arial" w:eastAsia="Arial" w:hAnsi="Arial" w:cs="Arial"/>
      <w:color w:val="FFFFFF"/>
      <w:sz w:val="2"/>
    </w:rPr>
  </w:style>
  <w:style w:type="paragraph" w:customStyle="1" w:styleId="RefToc8">
    <w:name w:val="RefToc8"/>
    <w:qFormat/>
    <w:pPr>
      <w:spacing w:before="0" w:after="0" w:line="240" w:lineRule="auto"/>
      <w:ind w:left="0" w:right="0" w:firstLine="0"/>
      <w:jc w:val="both"/>
    </w:pPr>
    <w:rPr>
      <w:rFonts w:ascii="Arial" w:eastAsia="Arial" w:hAnsi="Arial" w:cs="Arial"/>
      <w:color w:val="FFFFFF"/>
      <w:sz w:val="2"/>
    </w:rPr>
  </w:style>
  <w:style w:type="paragraph" w:customStyle="1" w:styleId="RefToc9">
    <w:name w:val="RefToc9"/>
    <w:qFormat/>
    <w:pPr>
      <w:spacing w:before="0" w:after="0" w:line="240" w:lineRule="auto"/>
      <w:ind w:left="0" w:right="0" w:firstLine="0"/>
      <w:jc w:val="both"/>
    </w:pPr>
    <w:rPr>
      <w:rFonts w:ascii="Arial" w:eastAsia="Arial" w:hAnsi="Arial" w:cs="Arial"/>
      <w:color w:val="FFFFFF"/>
      <w:sz w:val="2"/>
    </w:rPr>
  </w:style>
  <w:style w:type="paragraph" w:customStyle="1" w:styleId="NoRefToc">
    <w:name w:val="NoRefToc"/>
    <w:qFormat/>
    <w:pPr>
      <w:spacing w:before="0" w:after="0" w:line="240" w:lineRule="auto"/>
      <w:ind w:left="0" w:right="0" w:firstLine="0"/>
      <w:jc w:val="both"/>
    </w:pPr>
    <w:rPr>
      <w:rFonts w:ascii="Arial" w:eastAsia="Arial" w:hAnsi="Arial" w:cs="Arial"/>
      <w:color w:val="FFFFFF"/>
      <w:sz w:val="2"/>
    </w:rPr>
  </w:style>
  <w:style w:type="paragraph" w:customStyle="1" w:styleId="ContributionStart">
    <w:name w:val="ContributionStart"/>
    <w:qFormat/>
    <w:pPr>
      <w:spacing w:before="0" w:after="60" w:line="240" w:lineRule="auto"/>
      <w:ind w:left="0" w:right="0" w:firstLine="0"/>
      <w:jc w:val="both"/>
    </w:pPr>
    <w:rPr>
      <w:rFonts w:ascii="Arial" w:eastAsia="Arial" w:hAnsi="Arial" w:cs="Arial"/>
      <w:color w:val="232323"/>
      <w:sz w:val="12"/>
    </w:rPr>
  </w:style>
  <w:style w:type="paragraph" w:customStyle="1" w:styleId="ContributionEnd">
    <w:name w:val="ContributionEnd"/>
    <w:qFormat/>
    <w:pPr>
      <w:spacing w:before="0" w:after="20" w:line="240" w:lineRule="auto"/>
      <w:ind w:left="0" w:right="0" w:firstLine="0"/>
      <w:jc w:val="both"/>
    </w:pPr>
    <w:rPr>
      <w:rFonts w:ascii="Arial" w:eastAsia="Arial" w:hAnsi="Arial" w:cs="Arial"/>
      <w:color w:val="232323"/>
      <w:sz w:val="2"/>
    </w:rPr>
  </w:style>
  <w:style w:type="paragraph" w:customStyle="1" w:styleId="CoverDate">
    <w:name w:val="CoverDat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ReportType">
    <w:name w:val="CoverReportTyp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SubTitle">
    <w:name w:val="CoverSubTitle"/>
    <w:basedOn w:val="SimpleStyle"/>
    <w:qFormat/>
    <w:pPr>
      <w:spacing w:before="0" w:after="0" w:line="240" w:lineRule="auto"/>
      <w:ind w:left="0" w:right="0" w:firstLine="0"/>
      <w:jc w:val="both"/>
    </w:pPr>
    <w:rPr>
      <w:rFonts w:ascii="Calibri" w:eastAsia="Calibri" w:hAnsi="Calibri" w:cs="Calibri"/>
      <w:b/>
      <w:color w:val="009EE0"/>
      <w:sz w:val="32"/>
    </w:rPr>
  </w:style>
  <w:style w:type="paragraph" w:customStyle="1" w:styleId="CoverTitle">
    <w:name w:val="CoverTitle"/>
    <w:basedOn w:val="SimpleStyle"/>
    <w:qFormat/>
    <w:pPr>
      <w:spacing w:before="0" w:after="0" w:line="240" w:lineRule="auto"/>
      <w:ind w:left="0" w:right="0" w:firstLine="0"/>
      <w:jc w:val="left"/>
    </w:pPr>
    <w:rPr>
      <w:rFonts w:ascii="Calibri" w:eastAsia="Calibri" w:hAnsi="Calibri" w:cs="Calibri"/>
      <w:b/>
      <w:color w:val="0C1C49"/>
      <w:sz w:val="56"/>
    </w:rPr>
  </w:style>
  <w:style w:type="paragraph" w:customStyle="1" w:styleId="TableNote">
    <w:name w:val="TableNote"/>
    <w:basedOn w:val="SimpleStyle"/>
    <w:qFormat/>
    <w:pPr>
      <w:spacing w:before="0" w:after="0" w:line="240" w:lineRule="auto"/>
      <w:ind w:left="0" w:right="0" w:firstLine="0"/>
      <w:jc w:val="both"/>
    </w:pPr>
    <w:rPr>
      <w:rFonts w:ascii="Arial" w:eastAsia="Arial" w:hAnsi="Arial" w:cs="Arial"/>
      <w:b w:val="0"/>
      <w:color w:val="000000"/>
      <w:sz w:val="16"/>
    </w:rPr>
  </w:style>
  <w:style w:type="paragraph" w:customStyle="1" w:styleId="HeaderTitle">
    <w:name w:val="HeaderTitle"/>
    <w:basedOn w:val="SimpleStyle"/>
    <w:qFormat/>
    <w:pPr>
      <w:spacing w:before="0" w:after="0" w:line="480" w:lineRule="exact"/>
      <w:ind w:left="-180" w:right="-580" w:firstLine="0"/>
      <w:jc w:val="left"/>
    </w:pPr>
    <w:rPr>
      <w:rFonts w:ascii="Arial" w:eastAsia="Arial" w:hAnsi="Arial" w:cs="Arial"/>
      <w:b/>
      <w:color w:val="009EE0"/>
      <w:sz w:val="44"/>
    </w:rPr>
  </w:style>
  <w:style w:type="paragraph" w:customStyle="1" w:styleId="HeaderTitle2">
    <w:name w:val="HeaderTitle2"/>
    <w:basedOn w:val="SimpleStyle"/>
    <w:qFormat/>
    <w:pPr>
      <w:spacing w:before="0" w:after="0" w:line="480" w:lineRule="exact"/>
      <w:ind w:left="-180" w:right="-580" w:firstLine="0"/>
      <w:jc w:val="left"/>
    </w:pPr>
    <w:rPr>
      <w:rFonts w:ascii="Arial" w:eastAsia="Arial" w:hAnsi="Arial" w:cs="Arial"/>
      <w:b w:val="0"/>
      <w:color w:val="009EE0"/>
      <w:sz w:val="44"/>
    </w:rPr>
  </w:style>
  <w:style w:type="paragraph" w:customStyle="1" w:styleId="Bookmark">
    <w:name w:val="Bookmark"/>
    <w:basedOn w:val="SimpleStyle"/>
    <w:qFormat/>
    <w:pPr>
      <w:spacing w:before="0" w:after="0" w:line="240" w:lineRule="auto"/>
      <w:ind w:left="0" w:right="0" w:firstLine="0"/>
      <w:jc w:val="both"/>
    </w:pPr>
    <w:rPr>
      <w:rFonts w:ascii="Arial" w:eastAsia="Arial" w:hAnsi="Arial" w:cs="Arial"/>
      <w:color w:val="232323"/>
      <w:sz w:val="0"/>
    </w:rPr>
  </w:style>
  <w:style w:type="paragraph" w:customStyle="1" w:styleId="H1SPACEBEFORE">
    <w:name w:val="H1_SPACE_BEFORE"/>
    <w:basedOn w:val="SimpleStyl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1">
    <w:name w:val="H1"/>
    <w:basedOn w:val="SimpleStyle"/>
    <w:qFormat/>
    <w:pPr>
      <w:spacing w:before="240" w:after="160" w:line="240" w:lineRule="auto"/>
      <w:ind w:left="0" w:right="0" w:firstLine="0"/>
      <w:jc w:val="both"/>
    </w:pPr>
    <w:rPr>
      <w:rFonts w:ascii="Arial" w:eastAsia="Arial" w:hAnsi="Arial" w:cs="Arial"/>
      <w:b/>
      <w:color w:val="232323"/>
      <w:sz w:val="36"/>
    </w:rPr>
  </w:style>
  <w:style w:type="paragraph" w:customStyle="1" w:styleId="H2">
    <w:name w:val="H2"/>
    <w:basedOn w:val="SimpleStyle"/>
    <w:qFormat/>
    <w:pPr>
      <w:spacing w:before="0" w:after="160" w:line="240" w:lineRule="auto"/>
      <w:ind w:left="0" w:right="0" w:firstLine="0"/>
      <w:jc w:val="both"/>
    </w:pPr>
    <w:rPr>
      <w:rFonts w:ascii="Arial" w:eastAsia="Arial" w:hAnsi="Arial" w:cs="Arial"/>
      <w:b/>
      <w:color w:val="232323"/>
      <w:sz w:val="24"/>
    </w:rPr>
  </w:style>
  <w:style w:type="paragraph" w:customStyle="1" w:styleId="H3">
    <w:name w:val="H3"/>
    <w:basedOn w:val="SimpleStyle"/>
    <w:qFormat/>
    <w:pPr>
      <w:spacing w:before="160" w:after="160" w:line="240" w:lineRule="auto"/>
      <w:ind w:left="0" w:right="0" w:firstLine="0"/>
      <w:jc w:val="both"/>
    </w:pPr>
    <w:rPr>
      <w:rFonts w:ascii="Arial" w:eastAsia="Arial" w:hAnsi="Arial" w:cs="Arial"/>
      <w:b/>
      <w:color w:val="232323"/>
      <w:sz w:val="20"/>
    </w:rPr>
  </w:style>
  <w:style w:type="paragraph" w:customStyle="1" w:styleId="H4">
    <w:name w:val="H4"/>
    <w:basedOn w:val="SimpleStyle"/>
    <w:qFormat/>
    <w:pPr>
      <w:spacing w:before="0" w:after="160" w:line="240" w:lineRule="auto"/>
      <w:ind w:left="0" w:right="0" w:firstLine="0"/>
      <w:jc w:val="both"/>
    </w:pPr>
    <w:rPr>
      <w:rFonts w:ascii="Arial" w:eastAsia="Arial" w:hAnsi="Arial" w:cs="Arial"/>
      <w:b/>
      <w:color w:val="232323"/>
      <w:sz w:val="20"/>
      <w:u w:val="none"/>
    </w:rPr>
  </w:style>
  <w:style w:type="paragraph" w:customStyle="1" w:styleId="H5">
    <w:name w:val="H5"/>
    <w:basedOn w:val="SimpleStyle"/>
    <w:qFormat/>
    <w:pPr>
      <w:spacing w:before="0" w:after="160" w:line="240" w:lineRule="auto"/>
      <w:ind w:left="0" w:right="0" w:firstLine="0"/>
      <w:jc w:val="both"/>
    </w:pPr>
    <w:rPr>
      <w:rFonts w:ascii="Arial" w:eastAsia="Arial" w:hAnsi="Arial" w:cs="Arial"/>
      <w:b/>
      <w:color w:val="232323"/>
      <w:sz w:val="32"/>
    </w:rPr>
  </w:style>
  <w:style w:type="paragraph" w:customStyle="1" w:styleId="H6">
    <w:name w:val="H6"/>
    <w:basedOn w:val="SimpleStyle"/>
    <w:qFormat/>
    <w:pPr>
      <w:spacing w:before="0" w:after="160" w:line="240" w:lineRule="auto"/>
      <w:ind w:left="0" w:right="0" w:firstLine="0"/>
      <w:jc w:val="both"/>
    </w:pPr>
    <w:rPr>
      <w:rFonts w:ascii="Arial" w:eastAsia="Arial" w:hAnsi="Arial" w:cs="Arial"/>
      <w:b/>
      <w:i/>
      <w:color w:val="232323"/>
      <w:sz w:val="20"/>
    </w:rPr>
  </w:style>
  <w:style w:type="paragraph" w:customStyle="1" w:styleId="H7">
    <w:name w:val="H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1">
    <w:name w:val="L1"/>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2">
    <w:name w:val="L2"/>
    <w:basedOn w:val="SimpleStyle"/>
    <w:qFormat/>
    <w:pPr>
      <w:spacing w:before="200" w:after="0" w:line="240" w:lineRule="auto"/>
      <w:ind w:left="0" w:right="0" w:firstLine="0"/>
      <w:jc w:val="both"/>
    </w:pPr>
    <w:rPr>
      <w:rFonts w:ascii="Arial" w:eastAsia="Arial" w:hAnsi="Arial" w:cs="Arial"/>
      <w:b/>
      <w:i/>
      <w:color w:val="232323"/>
      <w:sz w:val="20"/>
    </w:rPr>
  </w:style>
  <w:style w:type="paragraph" w:customStyle="1" w:styleId="L3">
    <w:name w:val="L3"/>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4">
    <w:name w:val="L4"/>
    <w:basedOn w:val="SimpleStyle"/>
    <w:qFormat/>
    <w:pPr>
      <w:spacing w:before="200" w:after="0" w:line="240" w:lineRule="auto"/>
      <w:ind w:left="0" w:right="0" w:firstLine="0"/>
      <w:jc w:val="both"/>
    </w:pPr>
    <w:rPr>
      <w:rFonts w:ascii="Arial" w:eastAsia="Arial" w:hAnsi="Arial" w:cs="Arial"/>
      <w:b/>
      <w:i/>
      <w:color w:val="232323"/>
      <w:sz w:val="18"/>
    </w:rPr>
  </w:style>
  <w:style w:type="paragraph" w:customStyle="1" w:styleId="L5">
    <w:name w:val="L5"/>
    <w:basedOn w:val="SimpleStyle"/>
    <w:qFormat/>
    <w:pPr>
      <w:spacing w:before="0" w:after="160" w:line="240" w:lineRule="auto"/>
      <w:ind w:left="0" w:right="0" w:firstLine="0"/>
      <w:jc w:val="both"/>
    </w:pPr>
    <w:rPr>
      <w:rFonts w:ascii="Arial" w:eastAsia="Arial" w:hAnsi="Arial" w:cs="Arial"/>
      <w:b/>
      <w:color w:val="232323"/>
      <w:sz w:val="20"/>
    </w:rPr>
  </w:style>
  <w:style w:type="paragraph" w:customStyle="1" w:styleId="L6">
    <w:name w:val="L6"/>
    <w:basedOn w:val="SimpleStyle"/>
    <w:qFormat/>
    <w:pPr>
      <w:spacing w:before="0" w:after="0" w:line="240" w:lineRule="auto"/>
      <w:ind w:left="0" w:right="0" w:firstLine="0"/>
      <w:jc w:val="both"/>
    </w:pPr>
    <w:rPr>
      <w:rFonts w:ascii="Arial" w:eastAsia="Arial" w:hAnsi="Arial" w:cs="Arial"/>
      <w:b/>
      <w:color w:val="232323"/>
      <w:sz w:val="32"/>
    </w:rPr>
  </w:style>
  <w:style w:type="paragraph" w:customStyle="1" w:styleId="L7">
    <w:name w:val="L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8">
    <w:name w:val="L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L9">
    <w:name w:val="L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8">
    <w:name w:val="H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9">
    <w:name w:val="H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SimpleStyleTableau">
    <w:name w:val="SimpleStyleTableau"/>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DefaultEmptyStyle">
    <w:name w:val="DefaultEmptyStyle"/>
    <w:basedOn w:val="SimpleStyle"/>
    <w:qFormat/>
    <w:pPr>
      <w:spacing w:before="0" w:after="0" w:line="240" w:lineRule="auto"/>
      <w:ind w:left="0" w:right="0" w:firstLine="0"/>
      <w:jc w:val="both"/>
    </w:pPr>
    <w:rPr>
      <w:rFonts w:ascii="Arial" w:eastAsia="Arial" w:hAnsi="Arial" w:cs="Arial"/>
      <w:color w:val="FFFFFF"/>
      <w:sz w:val="0"/>
    </w:rPr>
  </w:style>
  <w:style w:type="paragraph" w:customStyle="1" w:styleId="BreakLine">
    <w:name w:val="BreakLine"/>
    <w:basedOn w:val="SimpleStyle"/>
    <w:qFormat/>
    <w:pPr>
      <w:spacing w:before="60" w:after="0" w:line="240" w:lineRule="auto"/>
      <w:ind w:left="0" w:right="0" w:firstLine="0"/>
      <w:jc w:val="both"/>
    </w:pPr>
    <w:rPr>
      <w:rFonts w:ascii="Arial" w:eastAsia="Arial" w:hAnsi="Arial" w:cs="Arial"/>
      <w:b w:val="0"/>
      <w:color w:val="232323"/>
      <w:sz w:val="18"/>
    </w:rPr>
  </w:style>
  <w:style w:type="paragraph" w:customStyle="1" w:styleId="FooterTitle">
    <w:name w:val="FooterTitle"/>
    <w:basedOn w:val="SimpleStyle"/>
    <w:qFormat/>
    <w:pPr>
      <w:spacing w:before="0" w:after="0" w:line="240" w:lineRule="auto"/>
      <w:ind w:left="0" w:right="0" w:firstLine="0"/>
      <w:jc w:val="left"/>
    </w:pPr>
    <w:rPr>
      <w:rFonts w:ascii="Arial" w:eastAsia="Arial" w:hAnsi="Arial" w:cs="Arial"/>
      <w:color w:val="808080"/>
      <w:sz w:val="16"/>
    </w:rPr>
  </w:style>
  <w:style w:type="paragraph" w:customStyle="1" w:styleId="SimpleStyleTop">
    <w:name w:val="SimpleStyleTop"/>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Text">
    <w:name w:val="Text"/>
    <w:basedOn w:val="SimpleStyle"/>
    <w:qFormat/>
    <w:pPr>
      <w:spacing w:before="0" w:after="0" w:line="240" w:lineRule="auto"/>
      <w:ind w:left="0" w:right="0" w:firstLine="0"/>
      <w:jc w:val="both"/>
    </w:pPr>
    <w:rPr>
      <w:rFonts w:ascii="Arial" w:eastAsia="Arial" w:hAnsi="Arial" w:cs="Arial"/>
      <w:b w:val="0"/>
      <w:color w:val="232323"/>
      <w:sz w:val="20"/>
    </w:rPr>
  </w:style>
  <w:style w:type="paragraph" w:customStyle="1" w:styleId="Contribution">
    <w:name w:val="Contribution"/>
    <w:basedOn w:val="SimpleStyle"/>
    <w:qFormat/>
    <w:pPr>
      <w:spacing w:before="0" w:after="0" w:line="240" w:lineRule="auto"/>
      <w:ind w:left="0" w:right="0" w:firstLine="0"/>
      <w:jc w:val="both"/>
    </w:pPr>
    <w:rPr>
      <w:rFonts w:ascii="Arial" w:eastAsia="Arial" w:hAnsi="Arial" w:cs="Arial"/>
      <w:color w:val="232323"/>
      <w:sz w:val="20"/>
    </w:rPr>
  </w:style>
  <w:style w:type="paragraph" w:customStyle="1" w:styleId="TextBold">
    <w:name w:val="TextBold"/>
    <w:basedOn w:val="SimpleStyle"/>
    <w:qFormat/>
    <w:pPr>
      <w:spacing w:before="0" w:after="0" w:line="300" w:lineRule="atLeast"/>
      <w:ind w:left="0" w:right="0" w:firstLine="0"/>
      <w:jc w:val="both"/>
    </w:pPr>
    <w:rPr>
      <w:rFonts w:ascii="Arial" w:eastAsia="Arial" w:hAnsi="Arial" w:cs="Arial"/>
      <w:b/>
      <w:color w:val="232323"/>
      <w:sz w:val="20"/>
    </w:rPr>
  </w:style>
  <w:style w:type="paragraph" w:customStyle="1" w:styleId="BottomPadding">
    <w:name w:val="BottomPadding"/>
    <w:basedOn w:val="SimpleStyle"/>
    <w:qFormat/>
    <w:pPr>
      <w:spacing w:before="0" w:after="0" w:line="240" w:lineRule="auto"/>
      <w:ind w:left="0" w:right="0" w:firstLine="0"/>
      <w:jc w:val="both"/>
    </w:pPr>
    <w:rPr>
      <w:rFonts w:ascii="Arial" w:eastAsia="Arial" w:hAnsi="Arial" w:cs="Arial"/>
      <w:color w:val="232323"/>
      <w:sz w:val="4"/>
    </w:rPr>
  </w:style>
  <w:style w:type="paragraph" w:customStyle="1" w:styleId="Footnote1">
    <w:name w:val="Footnote1"/>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2">
    <w:name w:val="Footnote2"/>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3">
    <w:name w:val="Footnote3"/>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4">
    <w:name w:val="Footnote4"/>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5">
    <w:name w:val="Footnote5"/>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6">
    <w:name w:val="Footnote6"/>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7">
    <w:name w:val="Footnote7"/>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8">
    <w:name w:val="Footnote8"/>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9">
    <w:name w:val="Footnote9"/>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H2SPACEBEFORE">
    <w:name w:val="H2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3SPACEBEFORE">
    <w:name w:val="H3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4SPACEBEFORE">
    <w:name w:val="H4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5SPACEBEFORE">
    <w:name w:val="H5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EnteteTabFirstColBordureCentre">
    <w:name w:val="EnteteTab FirstCol Bordure Centre"/>
    <w:basedOn w:val="SimpleStyleTableau"/>
    <w:qFormat/>
    <w:pPr>
      <w:spacing w:before="0" w:after="0" w:line="240" w:lineRule="auto"/>
      <w:ind w:left="100" w:right="0" w:firstLine="0"/>
      <w:jc w:val="center"/>
    </w:pPr>
    <w:rPr>
      <w:rFonts w:ascii="Arial" w:eastAsia="Arial" w:hAnsi="Arial" w:cs="Arial"/>
      <w:b/>
      <w:color w:val="232323"/>
      <w:sz w:val="16"/>
    </w:rPr>
  </w:style>
  <w:style w:type="paragraph" w:customStyle="1" w:styleId="EnteteTabLastColBordure">
    <w:name w:val="EnteteTab Last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FirstColNonGras">
    <w:name w:val="Tab1 FirstCol NonGras"/>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
    <w:name w:val="Tab1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BordureDown">
    <w:name w:val="Tab1 FirstCol NonGras BordureDown"/>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BordureDown">
    <w:name w:val="Tab1 Last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EnteteTabMiddleColBordure">
    <w:name w:val="EnteteTab Middle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MiddleColNonGrasBordureDown">
    <w:name w:val="Tab1 Middle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BordureDownCentre">
    <w:name w:val="Tab1 MiddleCol NonGras  BordureDown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FooterIndex">
    <w:name w:val="FooterIndex"/>
    <w:basedOn w:val="FooterTitle"/>
    <w:qFormat/>
    <w:pPr>
      <w:spacing w:before="0" w:after="0" w:line="240" w:lineRule="auto"/>
      <w:ind w:left="0" w:right="0" w:firstLine="0"/>
      <w:jc w:val="right"/>
    </w:pPr>
    <w:rPr>
      <w:rFonts w:ascii="Arial" w:eastAsia="Arial" w:hAnsi="Arial" w:cs="Arial"/>
      <w:color w:val="000000"/>
      <w:sz w:val="16"/>
    </w:rPr>
  </w:style>
  <w:style w:type="paragraph" w:customStyle="1" w:styleId="Tab1MiddleColNonGras">
    <w:name w:val="Tab1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Top">
    <w:name w:val="Tab1 FirstCol Top"/>
    <w:basedOn w:val="SimpleStyleTop"/>
    <w:qFormat/>
    <w:pPr>
      <w:spacing w:before="0" w:after="0" w:line="240" w:lineRule="auto"/>
      <w:ind w:left="100" w:right="100" w:firstLine="0"/>
      <w:jc w:val="left"/>
    </w:pPr>
    <w:rPr>
      <w:rFonts w:ascii="Arial" w:eastAsia="Arial" w:hAnsi="Arial" w:cs="Arial"/>
      <w:color w:val="232323"/>
      <w:sz w:val="16"/>
    </w:rPr>
  </w:style>
  <w:style w:type="paragraph" w:customStyle="1" w:styleId="Tab1MiddleColNonGrasTop">
    <w:name w:val="Tab1 Middle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LastColNonGrasTop">
    <w:name w:val="Tab1 Last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otalTabFirstColNoBordureUp">
    <w:name w:val="TotalTab FirstCol NoBordureUp"/>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NoBordureUp">
    <w:name w:val="TotalTab Middle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NoBordureUp">
    <w:name w:val="TotalTab Last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NoBordureUpNonGrasCentre">
    <w:name w:val="TotalTab MiddleCol NoBordureUp NonGras Centre"/>
    <w:basedOn w:val="SimpleStyleTableau"/>
    <w:qFormat/>
    <w:pPr>
      <w:spacing w:before="0" w:after="0" w:line="240" w:lineRule="auto"/>
      <w:ind w:left="0" w:right="100" w:firstLine="0"/>
      <w:jc w:val="center"/>
    </w:pPr>
    <w:rPr>
      <w:rFonts w:ascii="Arial" w:eastAsia="Arial" w:hAnsi="Arial" w:cs="Arial"/>
      <w:b w:val="0"/>
      <w:color w:val="232323"/>
      <w:sz w:val="16"/>
    </w:rPr>
  </w:style>
  <w:style w:type="paragraph" w:customStyle="1" w:styleId="TotalTabFirstColBordure">
    <w:name w:val="TotalTab FirstCol Bordure"/>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Bordure">
    <w:name w:val="TotalTab Middle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
    <w:name w:val="TotalTab Last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FirstColGras">
    <w:name w:val="Tab1 FirstCol Gras"/>
    <w:basedOn w:val="SimpleStyleTableau"/>
    <w:qFormat/>
    <w:pPr>
      <w:spacing w:before="0" w:after="0" w:line="240" w:lineRule="auto"/>
      <w:ind w:left="100" w:right="100" w:firstLine="0"/>
      <w:jc w:val="both"/>
    </w:pPr>
    <w:rPr>
      <w:rFonts w:ascii="Arial" w:eastAsia="Arial" w:hAnsi="Arial" w:cs="Arial"/>
      <w:b/>
      <w:color w:val="000000"/>
      <w:sz w:val="16"/>
      <w:shd w:val="clear" w:color="auto" w:fill="FFFFFF"/>
    </w:rPr>
  </w:style>
  <w:style w:type="paragraph" w:customStyle="1" w:styleId="Tab1LastColGras">
    <w:name w:val="Tab1 LastCol Gras"/>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BordureNonGras">
    <w:name w:val="TotalTab MiddleCol Bordure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TotalTabLastColBordureNonGras">
    <w:name w:val="TotalTab LastCol Bordure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Tab1MiddleColBordure">
    <w:name w:val="Tab1 MiddleCol Bordure"/>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1FirstColNonGrasBordureUp">
    <w:name w:val="Tab1 FirstCol NonGras BordureUp"/>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MiddleColNonGrasBordureUp">
    <w:name w:val="Tab1 MiddleCol NonGras BordureUp"/>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otalTabMiddleColNoBordureUpNonGras">
    <w:name w:val="TotalTab MiddleCol NoBordureUp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Tab1LastColNonGrasBordureUp">
    <w:name w:val="Tab1 LastCol NonGras BordureUp"/>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otalTabFirstColBordureNoColor">
    <w:name w:val="TotalTab FirstCol Bordure NoColor"/>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FirstColBordureNonGras">
    <w:name w:val="TotalTab FirstCol Bordure NonGras"/>
    <w:basedOn w:val="SimpleStyleTableau"/>
    <w:qFormat/>
    <w:pPr>
      <w:spacing w:before="0" w:after="0" w:line="240" w:lineRule="auto"/>
      <w:ind w:left="100" w:right="100" w:firstLine="0"/>
      <w:jc w:val="both"/>
    </w:pPr>
    <w:rPr>
      <w:rFonts w:ascii="Arial" w:eastAsia="Arial" w:hAnsi="Arial" w:cs="Arial"/>
      <w:b w:val="0"/>
      <w:color w:val="000000"/>
      <w:sz w:val="16"/>
    </w:rPr>
  </w:style>
  <w:style w:type="paragraph" w:customStyle="1" w:styleId="TotalTabMiddleColBordureNoColor">
    <w:name w:val="TotalTab MiddleCol Bordure NoColor"/>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NoColor">
    <w:name w:val="TotalTab LastCol Bordure NoColor"/>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EnteteTabFirstColBordure">
    <w:name w:val="EnteteTab FirstCol Bordure"/>
    <w:basedOn w:val="SimpleStyleTableau"/>
    <w:qFormat/>
    <w:pPr>
      <w:spacing w:before="0" w:after="0" w:line="240" w:lineRule="auto"/>
      <w:ind w:left="100" w:right="20" w:firstLine="0"/>
      <w:jc w:val="left"/>
    </w:pPr>
    <w:rPr>
      <w:rFonts w:ascii="Arial" w:eastAsia="Arial" w:hAnsi="Arial" w:cs="Arial"/>
      <w:b/>
      <w:color w:val="232323"/>
      <w:sz w:val="16"/>
    </w:rPr>
  </w:style>
  <w:style w:type="paragraph" w:customStyle="1" w:styleId="Tab1MiddleColGras">
    <w:name w:val="Tab1 MiddleCol Gras"/>
    <w:basedOn w:val="SimpleStyleTableau"/>
    <w:qFormat/>
    <w:pPr>
      <w:spacing w:before="0" w:after="0" w:line="240" w:lineRule="auto"/>
      <w:ind w:left="0" w:right="100" w:firstLine="0"/>
      <w:jc w:val="right"/>
    </w:pPr>
    <w:rPr>
      <w:rFonts w:ascii="Arial" w:eastAsia="Arial" w:hAnsi="Arial" w:cs="Arial"/>
      <w:b/>
      <w:color w:val="000000"/>
      <w:sz w:val="16"/>
    </w:rPr>
  </w:style>
  <w:style w:type="paragraph" w:customStyle="1" w:styleId="Tab1MiddleColNonGrasCentre">
    <w:name w:val="Tab1 MiddleCol NonGras Centre"/>
    <w:basedOn w:val="SimpleStyleTableau"/>
    <w:qFormat/>
    <w:pPr>
      <w:spacing w:before="0" w:after="0" w:line="240" w:lineRule="auto"/>
      <w:ind w:left="0" w:right="0" w:firstLine="0"/>
      <w:jc w:val="center"/>
    </w:pPr>
    <w:rPr>
      <w:rFonts w:ascii="Arial" w:eastAsia="Arial" w:hAnsi="Arial" w:cs="Arial"/>
      <w:color w:val="232323"/>
      <w:sz w:val="16"/>
    </w:rPr>
  </w:style>
  <w:style w:type="paragraph" w:customStyle="1" w:styleId="Tab3FirstColNonGras">
    <w:name w:val="Tab3 FirstCol NonGras"/>
    <w:basedOn w:val="SimpleStyleTableau"/>
    <w:qFormat/>
    <w:pPr>
      <w:spacing w:before="0" w:after="0" w:line="240" w:lineRule="auto"/>
      <w:ind w:left="360" w:right="100" w:firstLine="0"/>
      <w:jc w:val="both"/>
    </w:pPr>
    <w:rPr>
      <w:rFonts w:ascii="Arial" w:eastAsia="Arial" w:hAnsi="Arial" w:cs="Arial"/>
      <w:color w:val="232323"/>
      <w:sz w:val="16"/>
    </w:rPr>
  </w:style>
  <w:style w:type="paragraph" w:customStyle="1" w:styleId="Tab3MiddleColNonGras">
    <w:name w:val="Tab3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3LastColNonGras">
    <w:name w:val="Tab3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Left">
    <w:name w:val="Tab1 FirstCol NonGras Left"/>
    <w:basedOn w:val="SimpleStyleTableau"/>
    <w:qFormat/>
    <w:pPr>
      <w:spacing w:before="0" w:after="0" w:line="240" w:lineRule="auto"/>
      <w:ind w:left="100" w:right="100" w:firstLine="0"/>
      <w:jc w:val="left"/>
    </w:pPr>
    <w:rPr>
      <w:rFonts w:ascii="Arial" w:eastAsia="Arial" w:hAnsi="Arial" w:cs="Arial"/>
      <w:color w:val="232323"/>
      <w:sz w:val="16"/>
    </w:rPr>
  </w:style>
  <w:style w:type="paragraph" w:customStyle="1" w:styleId="Text1">
    <w:name w:val="Text1"/>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2">
    <w:name w:val="Text2"/>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3">
    <w:name w:val="Text3"/>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4">
    <w:name w:val="Text4"/>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5">
    <w:name w:val="Text5"/>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6">
    <w:name w:val="Text6"/>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7">
    <w:name w:val="Text7"/>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8">
    <w:name w:val="Text8"/>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9">
    <w:name w:val="Text9"/>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EnteteTabNoBordureUpNoGras">
    <w:name w:val="EnteteTab NoBordureUp NoGras"/>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2FirstColNonGras">
    <w:name w:val="Tab2 FirstCol NonGras"/>
    <w:basedOn w:val="SimpleStyleTableau"/>
    <w:qFormat/>
    <w:pPr>
      <w:spacing w:before="0" w:after="0" w:line="240" w:lineRule="auto"/>
      <w:ind w:left="200" w:right="100" w:firstLine="0"/>
      <w:jc w:val="both"/>
    </w:pPr>
    <w:rPr>
      <w:rFonts w:ascii="Arial" w:eastAsia="Arial" w:hAnsi="Arial" w:cs="Arial"/>
      <w:b w:val="0"/>
      <w:color w:val="232323"/>
      <w:sz w:val="16"/>
    </w:r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SimpleStyleNoContent">
    <w:name w:val="SimpleStyle NoContent"/>
    <w:qFormat/>
    <w:pPr>
      <w:jc w:val="both"/>
    </w:pPr>
    <w:rPr>
      <w:rFonts w:ascii="Arial" w:eastAsia="Arial" w:hAnsi="Arial" w:cs="Arial"/>
      <w:color w:val="232323"/>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Tab1MiddleColNonGrasBordureUpNoContent">
    <w:name w:val="Tab1 MiddleCol NonGras BordureUp NoContent"/>
    <w:qFormat/>
    <w:pPr>
      <w:ind w:right="100"/>
      <w:jc w:val="right"/>
    </w:pPr>
    <w:rPr>
      <w:rFonts w:ascii="Arial" w:eastAsia="Arial" w:hAnsi="Arial" w:cs="Arial"/>
      <w:color w:val="232323"/>
      <w:sz w:val="2"/>
    </w:rPr>
  </w:style>
  <w:style w:type="paragraph" w:customStyle="1" w:styleId="Tab1FirstColNonGrasBordureDownNoContent">
    <w:name w:val="Tab1 FirstCol NonGras BordureDown NoContent"/>
    <w:qFormat/>
    <w:pPr>
      <w:ind w:left="100" w:right="100"/>
      <w:jc w:val="both"/>
    </w:pPr>
    <w:rPr>
      <w:rFonts w:ascii="Arial" w:eastAsia="Arial" w:hAnsi="Arial" w:cs="Arial"/>
      <w:color w:val="232323"/>
      <w:sz w:val="2"/>
    </w:rPr>
  </w:style>
  <w:style w:type="paragraph" w:customStyle="1" w:styleId="TotalTabMiddleColNoBordureUpNonGrasNoContent">
    <w:name w:val="TotalTab MiddleCol NoBordureUp NonGras NoContent"/>
    <w:qFormat/>
    <w:pPr>
      <w:ind w:right="100"/>
      <w:jc w:val="right"/>
    </w:pPr>
    <w:rPr>
      <w:rFonts w:ascii="Arial" w:eastAsia="Arial" w:hAnsi="Arial" w:cs="Arial"/>
      <w:color w:val="232323"/>
      <w:sz w:val="2"/>
    </w:rPr>
  </w:style>
  <w:style w:type="paragraph" w:customStyle="1" w:styleId="EnteteTabMiddleColBordureNoContent">
    <w:name w:val="EnteteTab MiddleCol Bordure NoContent"/>
    <w:qFormat/>
    <w:pPr>
      <w:jc w:val="center"/>
    </w:pPr>
    <w:rPr>
      <w:rFonts w:ascii="Arial" w:eastAsia="Arial" w:hAnsi="Arial" w:cs="Arial"/>
      <w:b/>
      <w:color w:val="232323"/>
      <w:sz w:val="2"/>
    </w:rPr>
  </w:style>
  <w:style w:type="paragraph" w:customStyle="1" w:styleId="EnteteTabLastColBordureNoContent">
    <w:name w:val="EnteteTab LastCol Bordure NoContent"/>
    <w:qFormat/>
    <w:pPr>
      <w:jc w:val="center"/>
    </w:pPr>
    <w:rPr>
      <w:rFonts w:ascii="Arial" w:eastAsia="Arial" w:hAnsi="Arial" w:cs="Arial"/>
      <w:b/>
      <w:color w:val="232323"/>
      <w:sz w:val="2"/>
    </w:rPr>
  </w:style>
  <w:style w:type="paragraph" w:customStyle="1" w:styleId="Tab1MiddleColBordureNoContent">
    <w:name w:val="Tab1 MiddleCol Bordure NoContent"/>
    <w:qFormat/>
    <w:pPr>
      <w:jc w:val="right"/>
    </w:pPr>
    <w:rPr>
      <w:rFonts w:ascii="Arial" w:eastAsia="Arial" w:hAnsi="Arial" w:cs="Arial"/>
      <w:color w:val="232323"/>
      <w:sz w:val="2"/>
    </w:rPr>
  </w:style>
  <w:style w:type="paragraph" w:customStyle="1" w:styleId="TotalTabMiddleColBordureNoColorNoContent">
    <w:name w:val="TotalTab MiddleCol Bordure NoColor NoContent"/>
    <w:qFormat/>
    <w:pPr>
      <w:ind w:right="100"/>
      <w:jc w:val="right"/>
    </w:pPr>
    <w:rPr>
      <w:rFonts w:ascii="Arial" w:eastAsia="Arial" w:hAnsi="Arial" w:cs="Arial"/>
      <w:b/>
      <w:color w:val="232323"/>
      <w:sz w:val="2"/>
    </w:rPr>
  </w:style>
  <w:style w:type="paragraph" w:customStyle="1" w:styleId="TotalTabLastColBordureNoColorNoContent">
    <w:name w:val="TotalTab LastCol Bordure NoColor NoContent"/>
    <w:qFormat/>
    <w:pPr>
      <w:ind w:right="100"/>
      <w:jc w:val="right"/>
    </w:pPr>
    <w:rPr>
      <w:rFonts w:ascii="Arial" w:eastAsia="Arial" w:hAnsi="Arial" w:cs="Arial"/>
      <w:b/>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header" Target="header17.xml" /><Relationship Id="rId39" Type="http://schemas.openxmlformats.org/officeDocument/2006/relationships/footer" Target="footer17.xml" /><Relationship Id="rId4" Type="http://schemas.openxmlformats.org/officeDocument/2006/relationships/image" Target="media/image1.png"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header" Target="header19.xml" /><Relationship Id="rId43" Type="http://schemas.openxmlformats.org/officeDocument/2006/relationships/footer" Target="footer19.xml" /><Relationship Id="rId44" Type="http://schemas.openxmlformats.org/officeDocument/2006/relationships/header" Target="header20.xml" /><Relationship Id="rId45" Type="http://schemas.openxmlformats.org/officeDocument/2006/relationships/footer" Target="footer20.xml" /><Relationship Id="rId46" Type="http://schemas.openxmlformats.org/officeDocument/2006/relationships/header" Target="header21.xml" /><Relationship Id="rId47" Type="http://schemas.openxmlformats.org/officeDocument/2006/relationships/footer" Target="footer21.xml" /><Relationship Id="rId48" Type="http://schemas.openxmlformats.org/officeDocument/2006/relationships/header" Target="header22.xml" /><Relationship Id="rId49" Type="http://schemas.openxmlformats.org/officeDocument/2006/relationships/footer" Target="footer22.xml" /><Relationship Id="rId5" Type="http://schemas.openxmlformats.org/officeDocument/2006/relationships/image" Target="media/image2.png" /><Relationship Id="rId50" Type="http://schemas.openxmlformats.org/officeDocument/2006/relationships/header" Target="header23.xml" /><Relationship Id="rId51" Type="http://schemas.openxmlformats.org/officeDocument/2006/relationships/footer" Target="footer23.xml" /><Relationship Id="rId52" Type="http://schemas.openxmlformats.org/officeDocument/2006/relationships/header" Target="header24.xml" /><Relationship Id="rId53" Type="http://schemas.openxmlformats.org/officeDocument/2006/relationships/footer" Target="footer24.xml" /><Relationship Id="rId54" Type="http://schemas.openxmlformats.org/officeDocument/2006/relationships/header" Target="header25.xml" /><Relationship Id="rId55" Type="http://schemas.openxmlformats.org/officeDocument/2006/relationships/footer" Target="footer25.xml" /><Relationship Id="rId56" Type="http://schemas.openxmlformats.org/officeDocument/2006/relationships/header" Target="header26.xml" /><Relationship Id="rId57" Type="http://schemas.openxmlformats.org/officeDocument/2006/relationships/footer" Target="footer26.xml" /><Relationship Id="rId58" Type="http://schemas.openxmlformats.org/officeDocument/2006/relationships/header" Target="header27.xml" /><Relationship Id="rId59" Type="http://schemas.openxmlformats.org/officeDocument/2006/relationships/footer" Target="footer27.xml" /><Relationship Id="rId6" Type="http://schemas.openxmlformats.org/officeDocument/2006/relationships/header" Target="header1.xml" /><Relationship Id="rId60" Type="http://schemas.openxmlformats.org/officeDocument/2006/relationships/theme" Target="theme/theme1.xml" /><Relationship Id="rId61" Type="http://schemas.openxmlformats.org/officeDocument/2006/relationships/styles" Target="styles.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27</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