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900"/>
        <w:gridCol w:w="3720"/>
        <w:gridCol w:w="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auto" w:val="0"/>
        </w:trPr>
        <w:tc>
          <w:tcPr>
            <w:tcW w:w="7900" w:type="dxa"/>
            <w:tcMar>
              <w:top w:w="0" w:type="dxa"/>
              <w:left w:w="0" w:type="dxa"/>
              <w:bottom w:w="0" w:type="dxa"/>
              <w:right w:w="0" w:type="dxa"/>
            </w:tcMar>
          </w:tcPr>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245"/>
        </w:trPr>
        <w:tc>
          <w:tcPr>
            <w:tcW w:w="7900" w:type="dxa"/>
            <w:vMerge w:val="restart"/>
            <w:tcMar>
              <w:top w:w="0" w:type="dxa"/>
              <w:left w:w="0" w:type="dxa"/>
              <w:bottom w:w="0" w:type="dxa"/>
              <w:right w:w="0" w:type="dxa"/>
            </w:tcMar>
          </w:tcPr>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0"/>
              <w:gridCol w:w="20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185"/>
              </w:trPr>
              <w:tc>
                <w:tcPr>
                  <w:tcW w:w="1"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Bdr>
                      <w:top w:val="none" w:sz="0" w:space="0" w:color="auto"/>
                    </w:pBdr>
                    <w:bidi w:val="0"/>
                    <w:jc w:val="both"/>
                    <w:rPr>
                      <w:rFonts w:ascii="Arial" w:eastAsia="Arial" w:hAnsi="Arial" w:cs="Arial"/>
                      <w:b w:val="0"/>
                      <w:i w:val="0"/>
                      <w:strike w:val="0"/>
                      <w:color w:val="232323"/>
                      <w:sz w:val="18"/>
                      <w:u w:val="none"/>
                      <w:vertAlign w:val="baseline"/>
                      <w:lang w:val="fr-FR"/>
                    </w:rPr>
                  </w:pPr>
                  <w:bookmarkStart w:id="0" w:name="COVER_START"/>
                  <w:bookmarkEnd w:id="0"/>
                </w:p>
              </w:tc>
              <w:tc>
                <w:tcPr>
                  <w:tcW w:w="2040" w:type="dxa"/>
                  <w:vMerge w:val="restart"/>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985"/>
              </w:trPr>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204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tbl>
            <w:tblPr>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100"/>
              <w:gridCol w:w="6760"/>
            </w:tblGrid>
            <w:tr>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25"/>
              </w:trPr>
              <w:tc>
                <w:tcPr>
                  <w:tcW w:w="110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6760" w:type="dxa"/>
                  <w:vMerge w:val="restart"/>
                  <w:tcMar>
                    <w:top w:w="0" w:type="dxa"/>
                    <w:left w:w="0" w:type="dxa"/>
                    <w:bottom w:w="0" w:type="dxa"/>
                    <w:right w:w="0" w:type="dxa"/>
                  </w:tcMar>
                </w:tcPr>
                <w:p>
                  <w:pPr>
                    <w:pStyle w:val="NormalNoContentNoContent"/>
                    <w:spacing w:line="240" w:lineRule="exact"/>
                    <w:rPr>
                      <w:sz w:val="24"/>
                    </w:rPr>
                  </w:pPr>
                </w:p>
                <w:p>
                  <w:pPr>
                    <w:pStyle w:val="NormalNoContentNoContent"/>
                    <w:spacing w:after="570" w:line="240" w:lineRule="exact"/>
                    <w:rPr>
                      <w:sz w:val="24"/>
                    </w:rPr>
                  </w:pPr>
                </w:p>
                <w:p>
                  <w:pPr>
                    <w:pStyle w:val="CoverTitle"/>
                    <w:pBdr>
                      <w:top w:val="none" w:sz="0" w:space="0" w:color="auto"/>
                    </w:pBdr>
                    <w:bidi w:val="0"/>
                    <w:spacing w:before="540" w:after="0"/>
                    <w:ind w:left="0" w:right="0"/>
                    <w:jc w:val="left"/>
                    <w:rPr>
                      <w:rFonts w:ascii="Calibri" w:eastAsia="Calibri" w:hAnsi="Calibri" w:cs="Calibri"/>
                      <w:b/>
                      <w:i w:val="0"/>
                      <w:strike w:val="0"/>
                      <w:color w:val="0C1C49"/>
                      <w:sz w:val="56"/>
                      <w:u w:val="none"/>
                      <w:vertAlign w:val="baseline"/>
                      <w:lang w:val="fr-FR"/>
                    </w:rPr>
                  </w:pPr>
                  <w:r>
                    <w:rPr>
                      <w:rFonts w:ascii="Calibri" w:eastAsia="Calibri" w:hAnsi="Calibri" w:cs="Calibri"/>
                      <w:b/>
                      <w:i w:val="0"/>
                      <w:strike w:val="0"/>
                      <w:color w:val="0C1C49"/>
                      <w:sz w:val="56"/>
                      <w:u w:val="none"/>
                      <w:vertAlign w:val="baseline"/>
                      <w:lang w:val="fr-FR"/>
                    </w:rPr>
                    <w:t>BFT LCR NIVEAU 2</w:t>
                  </w:r>
                </w:p>
                <w:p>
                  <w:pPr>
                    <w:pStyle w:val="CoverSubTitle"/>
                    <w:pBdr>
                      <w:top w:val="none" w:sz="0" w:space="0" w:color="auto"/>
                    </w:pBdr>
                    <w:bidi w:val="0"/>
                    <w:spacing w:before="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 xml:space="preserve">OPCVM relevant de la Directive 2009/65/CE </w:t>
                  </w:r>
                </w:p>
                <w:p>
                  <w:pPr>
                    <w:pStyle w:val="CoverSubTitle"/>
                    <w:pBdr>
                      <w:bottom w:val="none" w:sz="0" w:space="0" w:color="auto"/>
                    </w:pBdr>
                    <w:bidi w:val="0"/>
                    <w:spacing w:after="330" w:line="391" w:lineRule="exact"/>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FCP de droit français</w:t>
                  </w:r>
                </w:p>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50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65"/>
                    </w:trPr>
                    <w:tc>
                      <w:tcPr>
                        <w:tcW w:w="1500" w:type="dxa"/>
                        <w:shd w:val="clear" w:color="009EE0" w:fill="009EE0"/>
                        <w:tcMar>
                          <w:top w:w="0" w:type="dxa"/>
                          <w:left w:w="0" w:type="dxa"/>
                          <w:bottom w:w="0" w:type="dxa"/>
                          <w:right w:w="0" w:type="dxa"/>
                        </w:tcMar>
                      </w:tcPr>
                      <w:p>
                        <w:pPr>
                          <w:pStyle w:val="NormalNoContent"/>
                        </w:pPr>
                      </w:p>
                    </w:tc>
                  </w:tr>
                </w:tbl>
                <w:p>
                  <w:pPr>
                    <w:spacing w:after="0" w:line="165" w:lineRule="exact"/>
                    <w:rPr>
                      <w:sz w:val="17"/>
                    </w:rPr>
                  </w:pPr>
                  <w:r>
                    <w:t xml:space="preserve"> </w:t>
                  </w:r>
                </w:p>
                <w:p>
                  <w:pPr>
                    <w:pStyle w:val="CoverReportType"/>
                    <w:pBdr>
                      <w:top w:val="none" w:sz="0" w:space="0" w:color="auto"/>
                    </w:pBdr>
                    <w:bidi w:val="0"/>
                    <w:spacing w:before="0" w:after="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RAPPORT SEMESTRIEL</w:t>
                  </w:r>
                </w:p>
                <w:p>
                  <w:pPr>
                    <w:pStyle w:val="CoverDate"/>
                    <w:pBdr>
                      <w:top w:val="none" w:sz="0" w:space="0" w:color="auto"/>
                      <w:bottom w:val="none" w:sz="0" w:space="0" w:color="auto"/>
                    </w:pBdr>
                    <w:bidi w:val="0"/>
                    <w:spacing w:before="0" w:after="6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EXERCICE CLOS LE 30 JUIN 2026</w:t>
                  </w:r>
                </w:p>
              </w:tc>
            </w:tr>
            <w:tr>
              <w:tblPrEx>
                <w:tblW w:w="0" w:type="auto"/>
                <w:tblInd w:w="2" w:type="dxa"/>
                <w:tblLayout w:type="fixed"/>
                <w:tblCellMar>
                  <w:left w:w="108" w:type="dxa"/>
                  <w:right w:w="108" w:type="dxa"/>
                </w:tblCellMar>
              </w:tblPrEx>
              <w:trPr>
                <w:trHeight w:hRule="auto" w:val="0"/>
              </w:trPr>
              <w:tc>
                <w:tcPr>
                  <w:tcW w:w="1100" w:type="dxa"/>
                  <w:tcMar>
                    <w:top w:w="0" w:type="dxa"/>
                    <w:left w:w="0" w:type="dxa"/>
                    <w:bottom w:w="0" w:type="dxa"/>
                    <w:right w:w="0" w:type="dxa"/>
                  </w:tcMar>
                </w:tcPr>
                <w:p>
                  <w:pPr>
                    <w:pStyle w:val="NormalNoContent"/>
                  </w:pPr>
                </w:p>
              </w:tc>
              <w:tc>
                <w:tcPr>
                  <w:tcW w:w="676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trHeight w:hRule="auto" w:val="0"/>
        </w:trPr>
        <w:tc>
          <w:tcPr>
            <w:tcW w:w="790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3720" w:type="dxa"/>
            <w:tcMar>
              <w:top w:w="0" w:type="dxa"/>
              <w:left w:w="0" w:type="dxa"/>
              <w:bottom w:w="0" w:type="dxa"/>
              <w:right w:w="0" w:type="dxa"/>
            </w:tcMar>
          </w:tcPr>
          <w:p>
            <w:pPr>
              <w:pBdr>
                <w:top w:val="none" w:sz="0" w:space="0" w:color="auto"/>
              </w:pBdr>
              <w:ind w:left="0"/>
              <w:rPr>
                <w:sz w:val="2"/>
              </w:rPr>
            </w:pPr>
            <w:r>
              <w:drawing>
                <wp:inline distT="0" distB="0" distL="0" distR="0">
                  <wp:extent cx="2349500" cy="4127500"/>
                  <wp:effectExtent l="0" t="0" r="0" b="0"/>
                  <wp:docPr id="1025" name="Image 1025"/>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0"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pPr>
              <w:rPr>
                <w:sz w:val="2"/>
              </w:rPr>
            </w:pPr>
          </w:p>
        </w:tc>
      </w:tr>
    </w:tbl>
    <w:p>
      <w:pPr>
        <w:pBdr>
          <w:top w:val="none" w:sz="0" w:space="0" w:color="auto"/>
        </w:pBdr>
        <w:spacing w:after="0"/>
        <w:ind w:left="0"/>
        <w:rPr>
          <w:sz w:val="2"/>
        </w:rPr>
      </w:pPr>
      <w:r>
        <w:drawing>
          <wp:inline distT="0" distB="0" distL="0" distR="0">
            <wp:extent cx="7556500" cy="6350000"/>
            <wp:effectExtent l="0" t="0" r="0" b="0"/>
            <wp:docPr id="1026" name="Image 1026"/>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0"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pPr>
        <w:pBdr>
          <w:top w:val="none" w:sz="0" w:space="0" w:color="auto"/>
        </w:pBdr>
        <w:bidi w:val="0"/>
        <w:spacing w:before="0" w:after="0"/>
        <w:ind w:left="10280" w:right="20"/>
        <w:jc w:val="both"/>
        <w:rPr>
          <w:rFonts w:ascii="Arial" w:eastAsia="Arial" w:hAnsi="Arial" w:cs="Arial"/>
          <w:b w:val="0"/>
          <w:i w:val="0"/>
          <w:strike w:val="0"/>
          <w:color w:val="232323"/>
          <w:sz w:val="2"/>
          <w:u w:val="none"/>
          <w:vertAlign w:val="baseline"/>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9D05801F2F922A0CE6E562EF03C4802B "" </w:instrText>
      </w:r>
      <w:r>
        <w:rPr>
          <w:rFonts w:ascii="Arial" w:eastAsia="Arial" w:hAnsi="Arial" w:cs="Arial"/>
          <w:b w:val="0"/>
          <w:i w:val="0"/>
          <w:strike w:val="0"/>
          <w:color w:val="000000"/>
          <w:sz w:val="0"/>
          <w:u w:val="none"/>
          <w:vertAlign w:val="baseline"/>
          <w:lang w:val="fr-FR"/>
        </w:rPr>
        <w:fldChar w:fldCharType="separate"/>
      </w:r>
      <w:bookmarkStart w:id="2" w:name="9D05801F2F922A0CE6E562EF03C4802B"/>
      <w:bookmarkEnd w:id="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 w:name="Etat du patrimoine en EUR"/>
      <w:bookmarkEnd w:id="3"/>
      <w:r>
        <w:rPr>
          <w:rFonts w:ascii="Arial" w:eastAsia="Arial" w:hAnsi="Arial" w:cs="Arial"/>
          <w:b/>
          <w:i w:val="0"/>
          <w:strike w:val="0"/>
          <w:color w:val="232323"/>
          <w:sz w:val="36"/>
          <w:u w:val="none"/>
          <w:vertAlign w:val="baseline"/>
          <w:lang w:val="fr-FR"/>
        </w:rPr>
        <w:t>Etat du patrimoine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 w:name="BK_6B6AB55AD17959C0B12AE6F48CF8C3BA"/>
      <w:bookmarkEnd w:id="4"/>
      <w:r>
        <w:rPr>
          <w:rFonts w:ascii="Arial" w:eastAsia="Arial" w:hAnsi="Arial" w:cs="Arial"/>
          <w:b w:val="0"/>
          <w:i w:val="0"/>
          <w:strike w:val="0"/>
          <w:color w:val="FFFFFF"/>
          <w:sz w:val="2"/>
          <w:u w:val="none"/>
          <w:vertAlign w:val="baseline"/>
          <w:lang w:val="fr-FR"/>
        </w:rPr>
        <w:t>Etat du patrimoine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5354387A869DE8A7E474D73C54420807 "" </w:instrText>
      </w:r>
      <w:r>
        <w:rPr>
          <w:rFonts w:ascii="Arial" w:eastAsia="Arial" w:hAnsi="Arial" w:cs="Arial"/>
          <w:b w:val="0"/>
          <w:i w:val="0"/>
          <w:strike w:val="0"/>
          <w:color w:val="000000"/>
          <w:sz w:val="0"/>
          <w:u w:val="none"/>
          <w:vertAlign w:val="baseline"/>
          <w:lang w:val="fr-FR"/>
        </w:rPr>
        <w:fldChar w:fldCharType="separate"/>
      </w:r>
      <w:bookmarkStart w:id="5" w:name="5354387A869DE8A7E474D73C54420807"/>
      <w:bookmarkEnd w:id="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0"/>
        <w:gridCol w:w="21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à l'arrêté périodique (*)</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35 674 860,63</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305 129,06</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152 818,61</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36 132 808,30</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-303 407,92</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35 829 400,38</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3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Les montants sont signés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D611F9F897C661672FDE8BD859D6796C "" </w:instrText>
      </w:r>
      <w:r>
        <w:rPr>
          <w:rFonts w:ascii="Arial" w:eastAsia="Arial" w:hAnsi="Arial" w:cs="Arial"/>
          <w:b w:val="0"/>
          <w:i w:val="0"/>
          <w:strike w:val="0"/>
          <w:color w:val="000000"/>
          <w:sz w:val="0"/>
          <w:u w:val="none"/>
          <w:vertAlign w:val="baseline"/>
          <w:lang w:val="fr-FR"/>
        </w:rPr>
        <w:fldChar w:fldCharType="separate"/>
      </w:r>
      <w:bookmarkStart w:id="6" w:name="D611F9F897C661672FDE8BD859D6796C"/>
      <w:bookmarkEnd w:id="6"/>
      <w:r>
        <w:rPr>
          <w:rFonts w:ascii="Arial" w:eastAsia="Arial" w:hAnsi="Arial" w:cs="Arial"/>
          <w:b w:val="0"/>
          <w:i w:val="0"/>
          <w:strike w:val="0"/>
          <w:color w:val="000000"/>
          <w:sz w:val="0"/>
          <w:u w:val="none"/>
          <w:vertAlign w:val="baseline"/>
          <w:lang w:val="fr-FR"/>
        </w:rPr>
        <w:fldChar w:fldCharType="end"/>
      </w:r>
    </w:p>
    <w:p>
      <w:pPr>
        <w:pStyle w:val="H1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7" w:name="Nombre de parts en circulation et valeur"/>
      <w:bookmarkEnd w:id="7"/>
      <w:r>
        <w:rPr>
          <w:rFonts w:ascii="Arial" w:eastAsia="Arial" w:hAnsi="Arial" w:cs="Arial"/>
          <w:b/>
          <w:i w:val="0"/>
          <w:strike w:val="0"/>
          <w:color w:val="232323"/>
          <w:sz w:val="36"/>
          <w:u w:val="none"/>
          <w:vertAlign w:val="baseline"/>
          <w:lang w:val="fr-FR"/>
        </w:rPr>
        <w:t>Nombre de parts en circulation et valeur nette d'inventaire par part</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 w:name="BK_5FC29098830DA85CB78F6B7A7A369631"/>
      <w:bookmarkEnd w:id="8"/>
      <w:r>
        <w:rPr>
          <w:rFonts w:ascii="Arial" w:eastAsia="Arial" w:hAnsi="Arial" w:cs="Arial"/>
          <w:b w:val="0"/>
          <w:i w:val="0"/>
          <w:strike w:val="0"/>
          <w:color w:val="FFFFFF"/>
          <w:sz w:val="2"/>
          <w:u w:val="none"/>
          <w:vertAlign w:val="baseline"/>
          <w:lang w:val="fr-FR"/>
        </w:rPr>
        <w:t>Nombre de parts en circulation et valeur nette d'inventaire par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503D449AD32F1528BABE379A905D4A7C "" </w:instrText>
      </w:r>
      <w:r>
        <w:rPr>
          <w:rFonts w:ascii="Arial" w:eastAsia="Arial" w:hAnsi="Arial" w:cs="Arial"/>
          <w:b w:val="0"/>
          <w:i w:val="0"/>
          <w:strike w:val="0"/>
          <w:color w:val="000000"/>
          <w:sz w:val="0"/>
          <w:u w:val="none"/>
          <w:vertAlign w:val="baseline"/>
          <w:lang w:val="fr-FR"/>
        </w:rPr>
        <w:fldChar w:fldCharType="separate"/>
      </w:r>
      <w:bookmarkStart w:id="9" w:name="503D449AD32F1528BABE379A905D4A7C"/>
      <w:bookmarkEnd w:id="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724"/>
        <w:gridCol w:w="1116"/>
        <w:gridCol w:w="159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nette d'inventaire par part</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BFT LCR NIVEAU 2</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35 829 400,38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3 197,970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11 203,79</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8"/>
          <w:footerReference w:type="default" r:id="rId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7304AE0EBDED08AD99B67179653FCF69 "" </w:instrText>
      </w:r>
      <w:r>
        <w:rPr>
          <w:rFonts w:ascii="Arial" w:eastAsia="Arial" w:hAnsi="Arial" w:cs="Arial"/>
          <w:b w:val="0"/>
          <w:i w:val="0"/>
          <w:strike w:val="0"/>
          <w:color w:val="000000"/>
          <w:sz w:val="0"/>
          <w:u w:val="none"/>
          <w:vertAlign w:val="baseline"/>
          <w:lang w:val="fr-FR"/>
        </w:rPr>
        <w:fldChar w:fldCharType="separate"/>
      </w:r>
      <w:bookmarkStart w:id="10" w:name="7304AE0EBDED08AD99B67179653FCF69"/>
      <w:bookmarkEnd w:id="10"/>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1" w:name="Eléments du portefeuille titres"/>
      <w:bookmarkEnd w:id="11"/>
      <w:r>
        <w:rPr>
          <w:rFonts w:ascii="Arial" w:eastAsia="Arial" w:hAnsi="Arial" w:cs="Arial"/>
          <w:b/>
          <w:i w:val="0"/>
          <w:strike w:val="0"/>
          <w:color w:val="232323"/>
          <w:sz w:val="36"/>
          <w:u w:val="none"/>
          <w:vertAlign w:val="baseline"/>
          <w:lang w:val="fr-FR"/>
        </w:rPr>
        <w:t>Eléments du portefeuille titres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2" w:name="BK_087A59EF53C1FBD2097E123C1ABCE783"/>
      <w:bookmarkEnd w:id="12"/>
      <w:r>
        <w:rPr>
          <w:rFonts w:ascii="Arial" w:eastAsia="Arial" w:hAnsi="Arial" w:cs="Arial"/>
          <w:b w:val="0"/>
          <w:i w:val="0"/>
          <w:strike w:val="0"/>
          <w:color w:val="FFFFFF"/>
          <w:sz w:val="2"/>
          <w:u w:val="none"/>
          <w:vertAlign w:val="baseline"/>
          <w:lang w:val="fr-FR"/>
        </w:rPr>
        <w:t>Eléments du portefeuille titres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0633170428602DAFCBD02AB70BF7C03C "" </w:instrText>
      </w:r>
      <w:r>
        <w:rPr>
          <w:rFonts w:ascii="Arial" w:eastAsia="Arial" w:hAnsi="Arial" w:cs="Arial"/>
          <w:b w:val="0"/>
          <w:i w:val="0"/>
          <w:strike w:val="0"/>
          <w:color w:val="000000"/>
          <w:sz w:val="0"/>
          <w:u w:val="none"/>
          <w:vertAlign w:val="baseline"/>
          <w:lang w:val="fr-FR"/>
        </w:rPr>
        <w:fldChar w:fldCharType="separate"/>
      </w:r>
      <w:bookmarkStart w:id="13" w:name="0633170428602DAFCBD02AB70BF7C03C"/>
      <w:bookmarkEnd w:id="1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562"/>
        </w:trPr>
        <w:tc>
          <w:tcPr>
            <w:tcW w:w="5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76,01</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75,37</w:t>
            </w:r>
          </w:p>
        </w:tc>
      </w:tr>
      <w:tr>
        <w:tblPrEx>
          <w:tblW w:w="5000" w:type="pct"/>
          <w:tblInd w:w="0" w:type="dxa"/>
          <w:tblLayout w:type="fixed"/>
          <w:tblCellMar>
            <w:left w:w="108" w:type="dxa"/>
            <w:right w:w="108" w:type="dxa"/>
          </w:tblCellMar>
        </w:tblPrEx>
        <w:trPr>
          <w:trHeight w:hRule="exact" w:val="62"/>
        </w:trPr>
        <w:tc>
          <w:tcPr>
            <w:tcW w:w="5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23,56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23,36</w:t>
            </w:r>
          </w:p>
        </w:tc>
      </w:tr>
      <w:tr>
        <w:tblPrEx>
          <w:tblW w:w="5000" w:type="pct"/>
          <w:tblInd w:w="0" w:type="dxa"/>
          <w:tblLayout w:type="fixed"/>
          <w:tblCellMar>
            <w:left w:w="108" w:type="dxa"/>
            <w:right w:w="108" w:type="dxa"/>
          </w:tblCellMar>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0"/>
          <w:footerReference w:type="default" r:id="rId11"/>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79A37CA5102F1C09C74AAF4A5BBC850B "" </w:instrText>
      </w:r>
      <w:r>
        <w:rPr>
          <w:rFonts w:ascii="Arial" w:eastAsia="Arial" w:hAnsi="Arial" w:cs="Arial"/>
          <w:b w:val="0"/>
          <w:i w:val="0"/>
          <w:strike w:val="0"/>
          <w:color w:val="000000"/>
          <w:sz w:val="0"/>
          <w:u w:val="none"/>
          <w:vertAlign w:val="baseline"/>
          <w:lang w:val="fr-FR"/>
        </w:rPr>
        <w:fldChar w:fldCharType="separate"/>
      </w:r>
      <w:bookmarkStart w:id="14" w:name="79A37CA5102F1C09C74AAF4A5BBC850B"/>
      <w:bookmarkEnd w:id="14"/>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5" w:name="Répartition des actifs du A), B), C), D)"/>
      <w:bookmarkEnd w:id="15"/>
      <w:r>
        <w:rPr>
          <w:rFonts w:ascii="Arial" w:eastAsia="Arial" w:hAnsi="Arial" w:cs="Arial"/>
          <w:b/>
          <w:i w:val="0"/>
          <w:strike w:val="0"/>
          <w:color w:val="232323"/>
          <w:sz w:val="36"/>
          <w:u w:val="none"/>
          <w:vertAlign w:val="baseline"/>
          <w:lang w:val="fr-FR"/>
        </w:rPr>
        <w:t>Répartition des actifs du A), B), C), D) du portefeuille titres, par devise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6" w:name="BK_C0543A569821AC9CAD9C71D515083358"/>
      <w:bookmarkEnd w:id="16"/>
      <w:r>
        <w:rPr>
          <w:rFonts w:ascii="Arial" w:eastAsia="Arial" w:hAnsi="Arial" w:cs="Arial"/>
          <w:b w:val="0"/>
          <w:i w:val="0"/>
          <w:strike w:val="0"/>
          <w:color w:val="FFFFFF"/>
          <w:sz w:val="2"/>
          <w:u w:val="none"/>
          <w:vertAlign w:val="baseline"/>
          <w:lang w:val="fr-FR"/>
        </w:rPr>
        <w:t>Répartition des actifs du A), B), C), D) du portefeuille titres, par devise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6B9FF3647D181540B3390B75F71E0F3D "" </w:instrText>
      </w:r>
      <w:r>
        <w:rPr>
          <w:rFonts w:ascii="Arial" w:eastAsia="Arial" w:hAnsi="Arial" w:cs="Arial"/>
          <w:b w:val="0"/>
          <w:i w:val="0"/>
          <w:strike w:val="0"/>
          <w:color w:val="000000"/>
          <w:sz w:val="0"/>
          <w:u w:val="none"/>
          <w:vertAlign w:val="baseline"/>
          <w:lang w:val="fr-FR"/>
        </w:rPr>
        <w:fldChar w:fldCharType="separate"/>
      </w:r>
      <w:bookmarkStart w:id="17" w:name="6B9FF3647D181540B3390B75F71E0F3D"/>
      <w:bookmarkEnd w:id="1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585"/>
        <w:gridCol w:w="917"/>
        <w:gridCol w:w="1574"/>
        <w:gridCol w:w="1594"/>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35 674 860,63</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99,57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98,73</w:t>
            </w:r>
          </w:p>
        </w:tc>
      </w:tr>
      <w:tr>
        <w:tblPrEx>
          <w:tblW w:w="5000" w:type="pct"/>
          <w:tblInd w:w="0" w:type="dxa"/>
          <w:tblLayout w:type="fixed"/>
          <w:tblCellMar>
            <w:left w:w="108" w:type="dxa"/>
            <w:right w:w="108" w:type="dxa"/>
          </w:tblCellMar>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NonGrasCentreNoContent"/>
              <w:pBdr>
                <w:top w:val="none" w:sz="0" w:space="0" w:color="auto"/>
              </w:pBdr>
              <w:bidi w:val="0"/>
              <w:ind w:right="100"/>
              <w:jc w:val="center"/>
              <w:rPr>
                <w:rFonts w:ascii="Arial" w:eastAsia="Arial" w:hAnsi="Arial" w:cs="Arial"/>
                <w:b w:val="0"/>
                <w:i w:val="0"/>
                <w:strike w:val="0"/>
                <w:color w:val="232323"/>
                <w:sz w:val="16"/>
                <w:u w:val="none"/>
                <w:vertAlign w:val="baseline"/>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35 674 860,63</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99,57</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98,73</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2"/>
          <w:footerReference w:type="default" r:id="rId13"/>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21C2C0567BA03D9F39464A7C3C33B052 "" </w:instrText>
      </w:r>
      <w:r>
        <w:rPr>
          <w:rFonts w:ascii="Arial" w:eastAsia="Arial" w:hAnsi="Arial" w:cs="Arial"/>
          <w:b w:val="0"/>
          <w:i w:val="0"/>
          <w:strike w:val="0"/>
          <w:color w:val="000000"/>
          <w:sz w:val="0"/>
          <w:u w:val="none"/>
          <w:vertAlign w:val="baseline"/>
          <w:lang w:val="fr-FR"/>
        </w:rPr>
        <w:fldChar w:fldCharType="separate"/>
      </w:r>
      <w:bookmarkStart w:id="18" w:name="21C2C0567BA03D9F39464A7C3C33B052"/>
      <w:bookmarkEnd w:id="18"/>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r>
        <w:rPr>
          <w:rFonts w:ascii="Arial" w:eastAsia="Arial" w:hAnsi="Arial" w:cs="Arial"/>
          <w:b/>
          <w:i w:val="0"/>
          <w:strike w:val="0"/>
          <w:color w:val="232323"/>
          <w:sz w:val="36"/>
          <w:u w:val="none"/>
          <w:vertAlign w:val="baseline"/>
          <w:lang w:val="fr-FR"/>
        </w:rPr>
        <w:t>Répartition des actifs du A), B), C), D) du portefeuille titres, par pays de résidence de l'émetteur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9" w:name="BK_C2DBD419B4AB72CB1D35637D8991C173"/>
      <w:bookmarkEnd w:id="19"/>
      <w:r>
        <w:rPr>
          <w:rFonts w:ascii="Arial" w:eastAsia="Arial" w:hAnsi="Arial" w:cs="Arial"/>
          <w:b w:val="0"/>
          <w:i w:val="0"/>
          <w:strike w:val="0"/>
          <w:color w:val="FFFFFF"/>
          <w:sz w:val="2"/>
          <w:u w:val="none"/>
          <w:vertAlign w:val="baseline"/>
          <w:lang w:val="fr-FR"/>
        </w:rPr>
        <w:t>Répartition des actifs du A), B), C), D) du portefeuille titres, par pays de résidence de l'émetteur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8E20950FB73965682E08EAC838A03995 "" </w:instrText>
      </w:r>
      <w:r>
        <w:rPr>
          <w:rFonts w:ascii="Arial" w:eastAsia="Arial" w:hAnsi="Arial" w:cs="Arial"/>
          <w:b w:val="0"/>
          <w:i w:val="0"/>
          <w:strike w:val="0"/>
          <w:color w:val="000000"/>
          <w:sz w:val="0"/>
          <w:u w:val="none"/>
          <w:vertAlign w:val="baseline"/>
          <w:lang w:val="fr-FR"/>
        </w:rPr>
        <w:fldChar w:fldCharType="separate"/>
      </w:r>
      <w:bookmarkStart w:id="20" w:name="8E20950FB73965682E08EAC838A03995"/>
      <w:bookmarkEnd w:id="2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21,88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21,70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ALLEMAGNE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14,08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13,96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12,75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12,64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ETATS-UNIS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ROYAUME-UNI</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7,49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7,43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PAYS-BAS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7,42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7,35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FINLANDE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4,93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SUEDE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4,15</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JAPON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NORVEGE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2,62</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DANEMARK</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AUSTRALIE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2,36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BELGIQUE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1,98</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POLOGNE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1,07</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IRLANDE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ESPAGNE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0,83</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CANADA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AUTRICHE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LITUANIE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99,57</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98,73</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4"/>
          <w:footerReference w:type="default" r:id="rId15"/>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C7F4CB4BF076040B67BA8D8D0C6844DC "" </w:instrText>
      </w:r>
      <w:r>
        <w:rPr>
          <w:rFonts w:ascii="Arial" w:eastAsia="Arial" w:hAnsi="Arial" w:cs="Arial"/>
          <w:b w:val="0"/>
          <w:i w:val="0"/>
          <w:strike w:val="0"/>
          <w:color w:val="000000"/>
          <w:sz w:val="0"/>
          <w:u w:val="none"/>
          <w:vertAlign w:val="baseline"/>
          <w:lang w:val="fr-FR"/>
        </w:rPr>
        <w:fldChar w:fldCharType="separate"/>
      </w:r>
      <w:bookmarkStart w:id="21" w:name="C7F4CB4BF076040B67BA8D8D0C6844DC"/>
      <w:bookmarkEnd w:id="21"/>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2" w:name="Répartition des autres actifs du E) du p"/>
      <w:bookmarkEnd w:id="22"/>
      <w:r>
        <w:rPr>
          <w:rFonts w:ascii="Arial" w:eastAsia="Arial" w:hAnsi="Arial" w:cs="Arial"/>
          <w:b/>
          <w:i w:val="0"/>
          <w:strike w:val="0"/>
          <w:color w:val="232323"/>
          <w:sz w:val="36"/>
          <w:u w:val="none"/>
          <w:vertAlign w:val="baseline"/>
          <w:lang w:val="fr-FR"/>
        </w:rPr>
        <w:t>Répartition des autres actifs du E) du portefeuille titres, par nature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3" w:name="BK_074E5BC1BB1FAC0B9D91EB8BA3C1F1B7"/>
      <w:bookmarkEnd w:id="23"/>
      <w:r>
        <w:rPr>
          <w:rFonts w:ascii="Arial" w:eastAsia="Arial" w:hAnsi="Arial" w:cs="Arial"/>
          <w:b w:val="0"/>
          <w:i w:val="0"/>
          <w:strike w:val="0"/>
          <w:color w:val="FFFFFF"/>
          <w:sz w:val="2"/>
          <w:u w:val="none"/>
          <w:vertAlign w:val="baseline"/>
          <w:lang w:val="fr-FR"/>
        </w:rPr>
        <w:t>Répartition des autres actifs du E) du portefeuille titres, par nature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3C0A326A774ECDE1927452628CE4F5A6 "" </w:instrText>
      </w:r>
      <w:r>
        <w:rPr>
          <w:rFonts w:ascii="Arial" w:eastAsia="Arial" w:hAnsi="Arial" w:cs="Arial"/>
          <w:b w:val="0"/>
          <w:i w:val="0"/>
          <w:strike w:val="0"/>
          <w:color w:val="000000"/>
          <w:sz w:val="0"/>
          <w:u w:val="none"/>
          <w:vertAlign w:val="baseline"/>
          <w:lang w:val="fr-FR"/>
        </w:rPr>
        <w:fldChar w:fldCharType="separate"/>
      </w:r>
      <w:bookmarkStart w:id="24" w:name="3C0A326A774ECDE1927452628CE4F5A6"/>
      <w:bookmarkEnd w:id="2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6"/>
          <w:footerReference w:type="default" r:id="rId17"/>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098A0325B0A603F6F5205A47DB34B4A7 "" </w:instrText>
      </w:r>
      <w:r>
        <w:rPr>
          <w:rFonts w:ascii="Arial" w:eastAsia="Arial" w:hAnsi="Arial" w:cs="Arial"/>
          <w:b w:val="0"/>
          <w:i w:val="0"/>
          <w:strike w:val="0"/>
          <w:color w:val="000000"/>
          <w:sz w:val="0"/>
          <w:u w:val="none"/>
          <w:vertAlign w:val="baseline"/>
          <w:lang w:val="fr-FR"/>
        </w:rPr>
        <w:fldChar w:fldCharType="separate"/>
      </w:r>
      <w:bookmarkStart w:id="25" w:name="098A0325B0A603F6F5205A47DB34B4A7"/>
      <w:bookmarkEnd w:id="2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6" w:name="Mouvements dans le portefeuille titres e"/>
      <w:bookmarkEnd w:id="26"/>
      <w:r>
        <w:rPr>
          <w:rFonts w:ascii="Arial" w:eastAsia="Arial" w:hAnsi="Arial" w:cs="Arial"/>
          <w:b/>
          <w:i w:val="0"/>
          <w:strike w:val="0"/>
          <w:color w:val="232323"/>
          <w:sz w:val="36"/>
          <w:u w:val="none"/>
          <w:vertAlign w:val="baseline"/>
          <w:lang w:val="fr-FR"/>
        </w:rPr>
        <w:t>Mouvements dans le portefeuille titres en cours de période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7" w:name="BK_88BAB0DB3077DA9204A1C2DDCB25B492"/>
      <w:bookmarkEnd w:id="27"/>
      <w:r>
        <w:rPr>
          <w:rFonts w:ascii="Arial" w:eastAsia="Arial" w:hAnsi="Arial" w:cs="Arial"/>
          <w:b w:val="0"/>
          <w:i w:val="0"/>
          <w:strike w:val="0"/>
          <w:color w:val="FFFFFF"/>
          <w:sz w:val="2"/>
          <w:u w:val="none"/>
          <w:vertAlign w:val="baseline"/>
          <w:lang w:val="fr-FR"/>
        </w:rPr>
        <w:t>Mouvements dans le portefeuille titres en cours de période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A906284C9213B447CAD2D9078495674C "" </w:instrText>
      </w:r>
      <w:r>
        <w:rPr>
          <w:rFonts w:ascii="Arial" w:eastAsia="Arial" w:hAnsi="Arial" w:cs="Arial"/>
          <w:b w:val="0"/>
          <w:i w:val="0"/>
          <w:strike w:val="0"/>
          <w:color w:val="000000"/>
          <w:sz w:val="0"/>
          <w:u w:val="none"/>
          <w:vertAlign w:val="baseline"/>
          <w:lang w:val="fr-FR"/>
        </w:rPr>
        <w:fldChar w:fldCharType="separate"/>
      </w:r>
      <w:bookmarkStart w:id="28" w:name="A906284C9213B447CAD2D9078495674C"/>
      <w:bookmarkEnd w:id="2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43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Mouvements (en montant)</w:t>
            </w:r>
          </w:p>
        </w:tc>
      </w:tr>
      <w:tr>
        <w:tblPrEx>
          <w:tblW w:w="5000" w:type="pct"/>
          <w:tblInd w:w="0" w:type="dxa"/>
          <w:tblLayout w:type="fixed"/>
          <w:tblCellMar>
            <w:left w:w="108" w:type="dxa"/>
            <w:right w:w="108" w:type="dxa"/>
          </w:tblCellMar>
        </w:tblPrEx>
        <w:trPr>
          <w:trHeight w:val="385"/>
        </w:trPr>
        <w:tc>
          <w:tcPr>
            <w:tcW w:w="646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Cessions</w:t>
            </w:r>
          </w:p>
        </w:tc>
      </w:tr>
      <w:tr>
        <w:tblPrEx>
          <w:tblW w:w="5000" w:type="pct"/>
          <w:tblInd w:w="0" w:type="dxa"/>
          <w:tblLayout w:type="fixed"/>
          <w:tblCellMar>
            <w:left w:w="108" w:type="dxa"/>
            <w:right w:w="108" w:type="dxa"/>
          </w:tblCellMar>
        </w:tblPrEx>
        <w:trPr>
          <w:trHeight w:val="562"/>
        </w:trPr>
        <w:tc>
          <w:tcPr>
            <w:tcW w:w="646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10 084 156,55</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5 085 731,70</w:t>
            </w:r>
          </w:p>
        </w:tc>
      </w:tr>
      <w:tr>
        <w:tblPrEx>
          <w:tblW w:w="5000" w:type="pct"/>
          <w:tblInd w:w="0" w:type="dxa"/>
          <w:tblLayout w:type="fixed"/>
          <w:tblCellMar>
            <w:left w:w="108" w:type="dxa"/>
            <w:right w:w="108" w:type="dxa"/>
          </w:tblCellMar>
        </w:tblPrEx>
        <w:trPr>
          <w:trHeight w:hRule="exact" w:val="62"/>
        </w:trPr>
        <w:tc>
          <w:tcPr>
            <w:tcW w:w="646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3 338 094,22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1 948 217,16</w:t>
            </w:r>
          </w:p>
        </w:tc>
      </w:tr>
      <w:tr>
        <w:tblPrEx>
          <w:tblW w:w="5000" w:type="pct"/>
          <w:tblInd w:w="0" w:type="dxa"/>
          <w:tblLayout w:type="fixed"/>
          <w:tblCellMar>
            <w:left w:w="108" w:type="dxa"/>
            <w:right w:w="108" w:type="dxa"/>
          </w:tblCellMar>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18"/>
          <w:footerReference w:type="default" r:id="rId1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D59460D426DD5E89D2FF7B001F00592C "" </w:instrText>
      </w:r>
      <w:r>
        <w:rPr>
          <w:rFonts w:ascii="Arial" w:eastAsia="Arial" w:hAnsi="Arial" w:cs="Arial"/>
          <w:b w:val="0"/>
          <w:i w:val="0"/>
          <w:strike w:val="0"/>
          <w:color w:val="000000"/>
          <w:sz w:val="0"/>
          <w:u w:val="none"/>
          <w:vertAlign w:val="baseline"/>
          <w:lang w:val="fr-FR"/>
        </w:rPr>
        <w:fldChar w:fldCharType="separate"/>
      </w:r>
      <w:bookmarkStart w:id="29" w:name="D59460D426DD5E89D2FF7B001F00592C"/>
      <w:bookmarkEnd w:id="29"/>
      <w:r>
        <w:rPr>
          <w:rFonts w:ascii="Arial" w:eastAsia="Arial" w:hAnsi="Arial" w:cs="Arial"/>
          <w:b w:val="0"/>
          <w:i w:val="0"/>
          <w:strike w:val="0"/>
          <w:color w:val="000000"/>
          <w:sz w:val="0"/>
          <w:u w:val="none"/>
          <w:vertAlign w:val="baseline"/>
          <w:lang w:val="fr-FR"/>
        </w:rPr>
        <w:fldChar w:fldCharType="end"/>
      </w:r>
    </w:p>
    <w:p>
      <w:pPr>
        <w:pStyle w:val="Heading5"/>
        <w:pBdr>
          <w:top w:val="none" w:sz="0" w:space="0" w:color="auto"/>
        </w:pBdr>
        <w:bidi w:val="0"/>
        <w:spacing w:before="240" w:after="160" w:line="240" w:lineRule="auto"/>
        <w:ind w:left="0" w:right="0"/>
        <w:jc w:val="both"/>
        <w:rPr>
          <w:rFonts w:ascii="Arial" w:eastAsia="Arial" w:hAnsi="Arial" w:cs="Arial"/>
          <w:b/>
          <w:i w:val="0"/>
          <w:strike w:val="0"/>
          <w:color w:val="232323"/>
          <w:sz w:val="32"/>
          <w:u w:val="none"/>
          <w:vertAlign w:val="baseline"/>
          <w:lang w:val="fr-FR"/>
        </w:rPr>
      </w:pPr>
      <w:bookmarkStart w:id="30" w:name="&lt;font size=&quot;5&quot;&gt;Transparence des opératio"/>
      <w:bookmarkEnd w:id="30"/>
      <w:r>
        <w:rPr>
          <w:rFonts w:ascii="Arial" w:eastAsia="Arial" w:hAnsi="Arial" w:cs="Arial"/>
          <w:b/>
          <w:i w:val="0"/>
          <w:strike w:val="0"/>
          <w:color w:val="232323"/>
          <w:sz w:val="36"/>
          <w:u w:val="none"/>
          <w:vertAlign w:val="baseline"/>
          <w:lang w:val="fr-FR"/>
        </w:rPr>
        <w:t>Transparence des opérations de financement sur titres et de la réutilisation des instruments financiers</w:t>
      </w:r>
      <w:r>
        <w:rPr>
          <w:rFonts w:ascii="Arial" w:eastAsia="Arial" w:hAnsi="Arial" w:cs="Arial"/>
          <w:b/>
          <w:i w:val="0"/>
          <w:strike w:val="0"/>
          <w:color w:val="232323"/>
          <w:sz w:val="32"/>
          <w:u w:val="none"/>
          <w:vertAlign w:val="baseline"/>
          <w:lang w:val="fr-FR"/>
        </w:rPr>
        <w:t xml:space="preserve"> - Règlement SFTR - en devise de comptabilité de l’OPC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1" w:name="BK_47E35F0C3B607B01680CE9F078661A0E"/>
      <w:bookmarkEnd w:id="31"/>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493054C770DAA4BC3D1D1227E025D031 "" </w:instrText>
      </w:r>
      <w:r>
        <w:rPr>
          <w:rFonts w:ascii="Arial" w:eastAsia="Arial" w:hAnsi="Arial" w:cs="Arial"/>
          <w:b w:val="0"/>
          <w:i w:val="0"/>
          <w:strike w:val="0"/>
          <w:color w:val="000000"/>
          <w:sz w:val="0"/>
          <w:u w:val="none"/>
          <w:vertAlign w:val="baseline"/>
          <w:lang w:val="fr-FR"/>
        </w:rPr>
        <w:fldChar w:fldCharType="separate"/>
      </w:r>
      <w:bookmarkStart w:id="32" w:name="493054C770DAA4BC3D1D1227E025D031"/>
      <w:bookmarkEnd w:id="32"/>
      <w:r>
        <w:rPr>
          <w:rFonts w:ascii="Arial" w:eastAsia="Arial" w:hAnsi="Arial" w:cs="Arial"/>
          <w:b w:val="0"/>
          <w:i w:val="0"/>
          <w:strike w:val="0"/>
          <w:color w:val="000000"/>
          <w:sz w:val="0"/>
          <w:u w:val="none"/>
          <w:vertAlign w:val="baseline"/>
          <w:lang w:val="fr-FR"/>
        </w:rPr>
        <w:fldChar w:fldCharType="end"/>
      </w:r>
    </w:p>
    <w:p w:rsidR="00C47C2A" w:rsidRPr="005E79D1" w:rsidP="005E79D1">
      <w:pPr>
        <w:spacing w:after="0" w:line="240" w:lineRule="auto"/>
        <w:ind w:right="0"/>
        <w:jc w:val="both"/>
        <w:rPr>
          <w:rFonts w:ascii="Arial" w:eastAsia="Arial" w:hAnsi="Arial" w:cs="Arial"/>
          <w:color w:val="232323"/>
          <w:sz w:val="20"/>
          <w:szCs w:val="20"/>
          <w:lang w:val="fr-FR" w:eastAsia="zh-TW"/>
        </w:rPr>
      </w:pPr>
      <w:bookmarkStart w:id="33" w:name="c858192ab1f7b22214fb2d13185270f39_START"/>
      <w:bookmarkEnd w:id="33"/>
      <w:r w:rsidRPr="00FC3CB5" w:rsidR="00E437AA">
        <w:rPr>
          <w:rFonts w:ascii="Arial" w:eastAsia="Arial" w:hAnsi="Arial" w:cs="Arial"/>
          <w:color w:val="232323"/>
          <w:sz w:val="20"/>
          <w:szCs w:val="20"/>
          <w:lang w:val="fr-FR" w:eastAsia="zh-TW"/>
        </w:rPr>
        <w:t>Au cours de l’exercice, l’OPC n’a pas fait l’objet d’opérations rele</w:t>
      </w:r>
      <w:r w:rsidR="005E79D1">
        <w:rPr>
          <w:rFonts w:ascii="Arial" w:eastAsia="Arial" w:hAnsi="Arial" w:cs="Arial"/>
          <w:color w:val="232323"/>
          <w:sz w:val="20"/>
          <w:szCs w:val="20"/>
          <w:lang w:val="fr-FR" w:eastAsia="zh-TW"/>
        </w:rPr>
        <w:t>vant de la règlementation SFTR.</w:t>
      </w:r>
    </w:p>
    <w:p>
      <w:pPr>
        <w:pStyle w:val="ContributionStart"/>
        <w:pBdr>
          <w:top w:val="none" w:sz="0" w:space="0" w:color="auto"/>
        </w:pBdr>
        <w:bidi w:val="0"/>
        <w:spacing w:before="0" w:after="60" w:line="240" w:lineRule="auto"/>
        <w:ind w:left="0" w:right="0"/>
        <w:jc w:val="both"/>
        <w:rPr>
          <w:rFonts w:ascii="Arial" w:eastAsia="Arial" w:hAnsi="Arial" w:cs="Arial"/>
          <w:b w:val="0"/>
          <w:i w:val="0"/>
          <w:strike w:val="0"/>
          <w:color w:val="232323"/>
          <w:sz w:val="12"/>
          <w:u w:val="none"/>
          <w:vertAlign w:val="baseline"/>
          <w:lang w:val="fr-FR"/>
        </w:rPr>
        <w:sectPr>
          <w:headerReference w:type="default" r:id="rId20"/>
          <w:footerReference w:type="default" r:id="rId21"/>
          <w:pgSz w:w="11900" w:h="16840"/>
          <w:pgMar w:top="2154" w:right="1134" w:bottom="1134" w:left="1134" w:header="400" w:footer="400"/>
          <w:cols w:space="720"/>
        </w:sectPr>
      </w:pPr>
      <w:bookmarkStart w:id="34" w:name="c858192ab1f7b22214fb2d13185270f39_END"/>
      <w:bookmarkEnd w:id="34"/>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5959E464B16A64B419B4C7344115FDF6 "" </w:instrText>
      </w:r>
      <w:r>
        <w:rPr>
          <w:rFonts w:ascii="Arial" w:eastAsia="Arial" w:hAnsi="Arial" w:cs="Arial"/>
          <w:b w:val="0"/>
          <w:i w:val="0"/>
          <w:strike w:val="0"/>
          <w:color w:val="000000"/>
          <w:sz w:val="0"/>
          <w:u w:val="none"/>
          <w:vertAlign w:val="baseline"/>
          <w:lang w:val="fr-FR"/>
        </w:rPr>
        <w:fldChar w:fldCharType="separate"/>
      </w:r>
      <w:bookmarkStart w:id="35" w:name="5959E464B16A64B419B4C7344115FDF6"/>
      <w:bookmarkEnd w:id="3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6" w:name="Inventaire des actifs et passifs"/>
      <w:bookmarkEnd w:id="36"/>
      <w:r>
        <w:rPr>
          <w:rFonts w:ascii="Arial" w:eastAsia="Arial" w:hAnsi="Arial" w:cs="Arial"/>
          <w:b/>
          <w:i w:val="0"/>
          <w:strike w:val="0"/>
          <w:color w:val="232323"/>
          <w:sz w:val="36"/>
          <w:u w:val="none"/>
          <w:vertAlign w:val="baseline"/>
          <w:lang w:val="fr-FR"/>
        </w:rPr>
        <w:t>Inventaire des actifs et passifs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7" w:name="BK_A15F88A7EC1B9E0062D18CE9F151DF6A"/>
      <w:bookmarkEnd w:id="37"/>
      <w:r>
        <w:rPr>
          <w:rFonts w:ascii="Arial" w:eastAsia="Arial" w:hAnsi="Arial" w:cs="Arial"/>
          <w:b w:val="0"/>
          <w:i w:val="0"/>
          <w:strike w:val="0"/>
          <w:color w:val="FFFFFF"/>
          <w:sz w:val="2"/>
          <w:u w:val="none"/>
          <w:vertAlign w:val="baseline"/>
          <w:lang w:val="fr-FR"/>
        </w:rPr>
        <w:t>Inventaire des actifs et passifs</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73E9D06C960CEEA0351AA92CA0DFC771 "" </w:instrText>
      </w:r>
      <w:r>
        <w:rPr>
          <w:rFonts w:ascii="Arial" w:eastAsia="Arial" w:hAnsi="Arial" w:cs="Arial"/>
          <w:b w:val="0"/>
          <w:i w:val="0"/>
          <w:strike w:val="0"/>
          <w:color w:val="000000"/>
          <w:sz w:val="0"/>
          <w:u w:val="none"/>
          <w:vertAlign w:val="baseline"/>
          <w:lang w:val="fr-FR"/>
        </w:rPr>
        <w:fldChar w:fldCharType="separate"/>
      </w:r>
      <w:bookmarkStart w:id="38" w:name="73E9D06C960CEEA0351AA92CA0DFC771"/>
      <w:bookmarkEnd w:id="3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2A09D62D4435264CC59C5E56043A7F46 "" </w:instrText>
      </w:r>
      <w:r>
        <w:rPr>
          <w:rFonts w:ascii="Arial" w:eastAsia="Arial" w:hAnsi="Arial" w:cs="Arial"/>
          <w:b w:val="0"/>
          <w:i w:val="0"/>
          <w:strike w:val="0"/>
          <w:color w:val="000000"/>
          <w:sz w:val="0"/>
          <w:u w:val="none"/>
          <w:vertAlign w:val="baseline"/>
          <w:lang w:val="fr-FR"/>
        </w:rPr>
        <w:fldChar w:fldCharType="separate"/>
      </w:r>
      <w:bookmarkStart w:id="39" w:name="2A09D62D4435264CC59C5E56043A7F46"/>
      <w:bookmarkEnd w:id="39"/>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40" w:name="Inventaire des éléments de bilan"/>
      <w:bookmarkEnd w:id="40"/>
      <w:r>
        <w:rPr>
          <w:rFonts w:ascii="Arial" w:eastAsia="Arial" w:hAnsi="Arial" w:cs="Arial"/>
          <w:b/>
          <w:i w:val="0"/>
          <w:strike w:val="0"/>
          <w:color w:val="232323"/>
          <w:sz w:val="24"/>
          <w:u w:val="none"/>
          <w:vertAlign w:val="baseline"/>
          <w:lang w:val="fr-FR"/>
        </w:rPr>
        <w:t>Inventaire des éléments de bilan</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1" w:name="BK_813BDAE825FFA9309F289C5416F9B7EB"/>
      <w:bookmarkEnd w:id="41"/>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DCAFE02499323BA13C25577B90BD5899 "" </w:instrText>
      </w:r>
      <w:r>
        <w:rPr>
          <w:rFonts w:ascii="Arial" w:eastAsia="Arial" w:hAnsi="Arial" w:cs="Arial"/>
          <w:b w:val="0"/>
          <w:i w:val="0"/>
          <w:strike w:val="0"/>
          <w:color w:val="000000"/>
          <w:sz w:val="0"/>
          <w:u w:val="none"/>
          <w:vertAlign w:val="baseline"/>
          <w:lang w:val="fr-FR"/>
        </w:rPr>
        <w:fldChar w:fldCharType="separate"/>
      </w:r>
      <w:bookmarkStart w:id="42" w:name="DCAFE02499323BA13C25577B90BD5899"/>
      <w:bookmarkEnd w:id="4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35 674 860,63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99,57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Obligations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35 674 860,63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99,57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201 510,49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SWISSCOM FINANCE BV 3.125% 20-05-29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201 510,49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304 847,53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BOSCH GMBH ROBERT 3.625% 02-06-30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304 847,53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Boissons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1 780 841,88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4,97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ANHEUSER INBEV SANV 1.125% 01-07-27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199 020,76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ANHEUSER INBEV SANV 3.45% 22-09-31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208 032,17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ASAHI BREWERIES 0.541% 23-10-28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663 041,50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PEPSI 3.3% 11-02-34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402 511,37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PERNOD RICARD 3.375% 07-11-30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308 236,08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Composants 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1 330 375,47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3,71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AUTOLIV 4.25% 15-03-28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616 442,60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CONTINENTAL 4.0% 01-06-28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713 932,87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Courrier, fret aérien et logistique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799 058,37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2,23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DEUTSCHE POST AG 3.0% 25-11-31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404 623,63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DSV AS 0.375% 26-02-27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394 434,74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1 218 176,96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ALIMENTATION COUCHE TARD 3.901% 21-04-33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214 013,49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CARREFOUR S A 3.25% 24-06-30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398 669,94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KONINKLIJKE AHOLD DELHAIZE NV 3.625% 12-03-34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416 792,98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WOOLWORTHS GROUP LIMITED EX 0.375% 15-11-28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188 700,55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Eau</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100 749,97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ALLIANDER 3.25% 30-04-31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100 749,97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Electricité</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1 718 808,51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4,80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AMPRION 3.0% 05-12-29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202 183,70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EDF 4.25% 25-01-32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424 139,00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ENEXIS HOLDING NV 3.0% 25-02-32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397 622,40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FORTUM OYJ 2.125% 27-02-29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394 074,24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LIETUVOS ENERGIJA UAB 1.875% 10-07-28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99 481,84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VERBUND AG 3.375% 22-04-33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201 307,33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 et services pour l'énergie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204 451,15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EUROGRID GMBH 1 3.722% 27-04-30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204 451,15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bl>
    <w:p>
      <w:pPr>
        <w:sectPr>
          <w:headerReference w:type="default" r:id="rId22"/>
          <w:footerReference w:type="default" r:id="rId23"/>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7E375AF9C0D613E5150E1719C30D39E9 "" </w:instrText>
      </w:r>
      <w:r>
        <w:rPr>
          <w:rFonts w:ascii="Arial" w:eastAsia="Arial" w:hAnsi="Arial" w:cs="Arial"/>
          <w:b w:val="0"/>
          <w:i w:val="0"/>
          <w:strike w:val="0"/>
          <w:color w:val="000000"/>
          <w:sz w:val="0"/>
          <w:u w:val="none"/>
          <w:vertAlign w:val="baseline"/>
          <w:lang w:val="fr-FR"/>
        </w:rPr>
        <w:fldChar w:fldCharType="separate"/>
      </w:r>
      <w:bookmarkStart w:id="43" w:name="7E375AF9C0D613E5150E1719C30D39E9"/>
      <w:bookmarkEnd w:id="43"/>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5E8D1BBE7C2680B326F8806F76119090 "" </w:instrText>
      </w:r>
      <w:r>
        <w:rPr>
          <w:rFonts w:ascii="Arial" w:eastAsia="Arial" w:hAnsi="Arial" w:cs="Arial"/>
          <w:b w:val="0"/>
          <w:i w:val="0"/>
          <w:strike w:val="0"/>
          <w:color w:val="000000"/>
          <w:sz w:val="0"/>
          <w:u w:val="none"/>
          <w:vertAlign w:val="baseline"/>
          <w:lang w:val="fr-FR"/>
        </w:rPr>
        <w:fldChar w:fldCharType="separate"/>
      </w:r>
      <w:bookmarkStart w:id="44" w:name="5E8D1BBE7C2680B326F8806F76119090"/>
      <w:bookmarkEnd w:id="4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électriques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307 532,27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SCHNEIDER ELECTRIC SE 2.75% 04-07-30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100 189,20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SCHNEIDER ELECTRIC SE 3.5% 09-11-32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207 343,07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Equipements et fournitures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321 863,61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0,90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SMITH AND NEPHEW 4.565% 11-10-29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321 863,61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0,90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Finances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408 078,53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1,14</w:t>
            </w:r>
          </w:p>
        </w:tc>
      </w:tr>
      <w:tr>
        <w:tblPrEx>
          <w:tblW w:w="5000" w:type="pct"/>
          <w:tblInd w:w="0" w:type="dxa"/>
          <w:tblLayout w:type="fixed"/>
          <w:tblCellMar>
            <w:left w:w="108" w:type="dxa"/>
            <w:right w:w="108" w:type="dxa"/>
          </w:tblCellMar>
        </w:tblPrEx>
        <w:trPr>
          <w:trHeight w:val="3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HOWOGE WOHNUNGSBAUGESELLSCHAFT MBH 3.875% 05-06-30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408 078,53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FPI de détail</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720 022,90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2,01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KLEPIERRE 3.875% 23-09-33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522 149,95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MERCIALYS 2.5% 28-02-29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197 872,95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FPI Hôtel et Lieu de Villégiature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283 327,01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0,79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COVIVIO HOTELS SCA 1.0% 27-07-29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283 327,01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Gaz</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484 010,19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1,35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APA INFRASTRUCTURE 0.75% 15-03-29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281 752,29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VIER GAS TRANSP 3.5% 21-10-30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202 257,90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et promotion immobilière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1 399 474,50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3,91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BALDER FINLAND OYJ 1.0% 18-01-27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397 600,22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GEWOBAG WOHNUNGSBAUAG BERLIN 0.125% 24-06-27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388 074,22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ICADE SANTE SAS 5.5% 19-09-28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216 341,80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PRAEMIA HEALTHCARE 3.875% 05-06-32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397 458,26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2 123 986,69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5,93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 SAGAX 3.375% 26-01-31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209 902,83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 SAGAX 4.375% 29-05-30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205 894,45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AROUNDTOWN 3.5% 13-05-30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396 109,72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 WO 0.5 04-31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258 995,17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GRAND CITY PROPERTIES 1.5% 22-02-27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498 628,39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KOJAMO OYJ 0.875% 28-05-29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278 494,44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VONOVIA SE 0.625% 14-12-29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275 961,69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Hôtels, restaurants et loisirs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301 920,16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BOOKING 3.0% 07-11-30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301 920,16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1 319 449,13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3,68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BPOST SA DE DROIT PUBLIC 3.29% 16-10-29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307 657,22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INTL DISTRIBUTIONS SERVICES 5.25% 14-09-28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215 026,00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0,60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METSO CORPORATION 0.875% 26-05-28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288 075,22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PANDORA AS 3.875% 31-05-30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508 690,69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313 808,58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FORTIVE 3.7% 15-08-29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313 808,58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0,88</w:t>
            </w:r>
          </w:p>
        </w:tc>
      </w:tr>
    </w:tbl>
    <w:p>
      <w:pPr>
        <w:sectPr>
          <w:headerReference w:type="default" r:id="rId24"/>
          <w:footerReference w:type="default" r:id="rId25"/>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AF786A3EE5BF002858BA4A01B417A09F "" </w:instrText>
      </w:r>
      <w:r>
        <w:rPr>
          <w:rFonts w:ascii="Arial" w:eastAsia="Arial" w:hAnsi="Arial" w:cs="Arial"/>
          <w:b w:val="0"/>
          <w:i w:val="0"/>
          <w:strike w:val="0"/>
          <w:color w:val="000000"/>
          <w:sz w:val="0"/>
          <w:u w:val="none"/>
          <w:vertAlign w:val="baseline"/>
          <w:lang w:val="fr-FR"/>
        </w:rPr>
        <w:fldChar w:fldCharType="separate"/>
      </w:r>
      <w:bookmarkStart w:id="45" w:name="AF786A3EE5BF002858BA4A01B417A09F"/>
      <w:bookmarkEnd w:id="45"/>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1DD14BF5197C06540917DD840EE79519 "" </w:instrText>
      </w:r>
      <w:r>
        <w:rPr>
          <w:rFonts w:ascii="Arial" w:eastAsia="Arial" w:hAnsi="Arial" w:cs="Arial"/>
          <w:b w:val="0"/>
          <w:i w:val="0"/>
          <w:strike w:val="0"/>
          <w:color w:val="000000"/>
          <w:sz w:val="0"/>
          <w:u w:val="none"/>
          <w:vertAlign w:val="baseline"/>
          <w:lang w:val="fr-FR"/>
        </w:rPr>
        <w:fldChar w:fldCharType="separate"/>
      </w:r>
      <w:bookmarkStart w:id="46" w:name="1DD14BF5197C06540917DD840EE79519"/>
      <w:bookmarkEnd w:id="4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2 456 515,78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6,86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DANFOSS FINANCE II BV 4.125% 02-12-29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315 593,37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IHG FINANCE LLC 4.375% 28-11-29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422 868,59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MOTABILITY OPERATIONS GROUP 3.625% 24-07-29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209 086,69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OMNICOM FINANCE 3.7% 06-03-32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506 657,89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TRANSBURBAN FINANCE COMPANY 1.45% 16-05-29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382 586,10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VOLKSWAGEN INTL FINANCE NV 4.25% 15-02-28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619 723,14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504 517,58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1,41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COMCAST 3.25% 26-09-32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402 938,20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INFORMA 3.25% 23-10-30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101 579,38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Médias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302 444,24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BERTELSMANN 3.75% 23-07-34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302 444,24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Métaux et minerais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508 734,60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1,42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ARCELLOR MITTAL 3.125% 13-12-28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508 734,60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1,42</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Papier et industrie du bois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300 679,73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MONDI FINANCE 3.75% 31-05-32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300 679,73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Pétrole et gaz</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1 867 878,96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AKER BP A 1.125% 12-05-29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471 090,39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NESTE OYJ 3.875% 16-03-29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309 454,29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POLSKI KONCERN NAFTOWY ORLEN SA PLOCK 1.125% 27-05-28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385 330,12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CAPITAL INTL 1.491% 08-04-27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497 021,76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CAPITAL INTL 3.075% 01-07-31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204 982,40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311 248,20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GEN MILLS 3.65% 23-10-30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311 248,20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389 166,46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1,09</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AIR PRODUCTS 0.5% 05-05-28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191 506,76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AIR PRODUCTS 2.95% 14-05-31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197 659,70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domestiques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205 124,17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HENKEL AG AND COKGAA 3.625% 02-04-31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205 124,17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770 692,21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2,15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ABBVIE 0.75% 18-11-27</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195 426,01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ABBVIE INC</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196 228,79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TAKEDA PHARMACEUTICAL 1.0% 09-07-29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379 037,41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Produits pour l'industrie du bâtiment</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509 047,64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1,42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ASSA ABLOY AB 3.371% 09-09-32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307 659,88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COMPAGNIE DE SAINT GOBAIN 3.5% 04-04-33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201 387,76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Semi-conducteurs et équipements pour fabrication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299 997,22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INFINEON TECHNOLOGIES AG 2.875% 13-02-30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299 997,22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bl>
    <w:p>
      <w:pPr>
        <w:sectPr>
          <w:headerReference w:type="default" r:id="rId26"/>
          <w:footerReference w:type="default" r:id="rId27"/>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74684318F1DAE66A8E4C73D4A1736389 "" </w:instrText>
      </w:r>
      <w:r>
        <w:rPr>
          <w:rFonts w:ascii="Arial" w:eastAsia="Arial" w:hAnsi="Arial" w:cs="Arial"/>
          <w:b w:val="0"/>
          <w:i w:val="0"/>
          <w:strike w:val="0"/>
          <w:color w:val="000000"/>
          <w:sz w:val="0"/>
          <w:u w:val="none"/>
          <w:vertAlign w:val="baseline"/>
          <w:lang w:val="fr-FR"/>
        </w:rPr>
        <w:fldChar w:fldCharType="separate"/>
      </w:r>
      <w:bookmarkStart w:id="47" w:name="74684318F1DAE66A8E4C73D4A1736389"/>
      <w:bookmarkEnd w:id="47"/>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764370F1CE944359FAF414799271E2EA "" </w:instrText>
      </w:r>
      <w:r>
        <w:rPr>
          <w:rFonts w:ascii="Arial" w:eastAsia="Arial" w:hAnsi="Arial" w:cs="Arial"/>
          <w:b w:val="0"/>
          <w:i w:val="0"/>
          <w:strike w:val="0"/>
          <w:color w:val="000000"/>
          <w:sz w:val="0"/>
          <w:u w:val="none"/>
          <w:vertAlign w:val="baseline"/>
          <w:lang w:val="fr-FR"/>
        </w:rPr>
        <w:fldChar w:fldCharType="separate"/>
      </w:r>
      <w:bookmarkStart w:id="48" w:name="764370F1CE944359FAF414799271E2EA"/>
      <w:bookmarkEnd w:id="4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817 254,66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ENGIE 3.625% 11-01-30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206 460,16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IBERDROLA FINANZAS SAU 3.125% 25-06-30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300 365,65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NATL GRID 3.875% 16-01-29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310 428,85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0,86</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206 127,80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0,58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SECURITAS TREASURY IRELAND DAC 3.875% 23-02-30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206 127,80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0,58</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aux professionnels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310 570,32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RANDSTAD NV 3.61% 12-03-29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203 482,30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TELEPERFORMANCE SE 5.25% 22-11-28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107 088,02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0,30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clientèle divers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735 699,33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2,05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3.375% 16-04-29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101 226,69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3.5% 23-06-32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205 282,81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AYVENS 4.875% 06-10-28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429 189,83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1,20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1 865 334,47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5,21</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BRITISH TEL 3.375% 17-11-32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201 859,49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BRITISH TEL 3.75% 13-05-31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204 592,07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DEUTSCHE TELEKOM AG 3.375% 28-04-33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371 968,84</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ELISA CORPORATION 2.875% 14-05-30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99 035,82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TELENOR AS 1.125% 31-05-29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474 910,92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TMOBILE U 3.2% 19-02-32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299 918,65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VERIZON COMMUNICATION 4.25% 31-10-30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213 048,68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3 208 423,90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8,94</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AIR LIQ FIN 2.625% 05-11-29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100 514,96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AIR LIQ FIN 3.0% 05-05-33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196 326,03</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RENTOKIL INITIAL FINANCE BV 4.375% 27-06-30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311 421,95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SANDOZ FINANCE BV 3.25% 12-09-29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411 175,45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SEGRO CAPITAL SARL 1.875% 23-03-30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382 763,75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SHURGARD LUXEMBOURG 3.625% 22-10-34</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298 575,38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SUEZ SACA 4.625% 03-11-28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635 739,97</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1,75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TRATON FINANCE LUXEMBOURG 3.875% 13-11-31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101 027,79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TRATON FINANCE LUXEMBOURG 4.25% 16-05-28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512 219,40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VODAFONE INTL FINANCING DAC 2.75% 27-04-30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98 781,20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VOLVO TREASURY AB 3.25% 11-02-33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159 878,02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0,45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1 080 507,80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3,02</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CAPGEMINI 2.5% 25-09-28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201 617,78</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HOFP 1 05/15/28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484 125,51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THALES 0.25% 29-01-27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394 764,51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SIIC spécialisées dans le crédit hypothécaire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388 445,51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AKFAST 1 01/17/28</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388 445,51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1,08</w:t>
            </w:r>
          </w:p>
        </w:tc>
      </w:tr>
    </w:tbl>
    <w:p>
      <w:pPr>
        <w:sectPr>
          <w:headerReference w:type="default" r:id="rId28"/>
          <w:footerReference w:type="default" r:id="rId29"/>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AD299E7E6DF53FB9D743F65234B3D061 "" </w:instrText>
      </w:r>
      <w:r>
        <w:rPr>
          <w:rFonts w:ascii="Arial" w:eastAsia="Arial" w:hAnsi="Arial" w:cs="Arial"/>
          <w:b w:val="0"/>
          <w:i w:val="0"/>
          <w:strike w:val="0"/>
          <w:color w:val="000000"/>
          <w:sz w:val="0"/>
          <w:u w:val="none"/>
          <w:vertAlign w:val="baseline"/>
          <w:lang w:val="fr-FR"/>
        </w:rPr>
        <w:fldChar w:fldCharType="separate"/>
      </w:r>
      <w:bookmarkStart w:id="49" w:name="AD299E7E6DF53FB9D743F65234B3D061"/>
      <w:bookmarkEnd w:id="49"/>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 xml:space="preserve">Inventaire des éléments de bilan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1EC61186F767BC46B8333E2F1CEF3BE6 "" </w:instrText>
      </w:r>
      <w:r>
        <w:rPr>
          <w:rFonts w:ascii="Arial" w:eastAsia="Arial" w:hAnsi="Arial" w:cs="Arial"/>
          <w:b w:val="0"/>
          <w:i w:val="0"/>
          <w:strike w:val="0"/>
          <w:color w:val="000000"/>
          <w:sz w:val="0"/>
          <w:u w:val="none"/>
          <w:vertAlign w:val="baseline"/>
          <w:lang w:val="fr-FR"/>
        </w:rPr>
        <w:fldChar w:fldCharType="separate"/>
      </w:r>
      <w:bookmarkStart w:id="50" w:name="1EC61186F767BC46B8333E2F1CEF3BE6"/>
      <w:bookmarkEnd w:id="5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Sociétés d'investissement immobilier cotées (SIIC)</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1 780 011,70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4,97</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EQUINIX EUROPE 2 FINANCING CORPORATION 3.25% 19-05-29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200 805,69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PROLOGIS INTL FUND II 0.875% 09-07-29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377 432,01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SELP FINANCE SARL 0.875% 27-05-29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280 167,20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0,78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SELP FINANCE SARL 3.75% 16-01-32</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407 540,52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SELP FINANCE SARL 3.875% 21-04-31</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101 597,96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0,28</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UNIBAIL RODAMCO SE 3.875% 21-04-33</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202 182,76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UNIBAIL RODAMCO SE 4.125% 11-12-30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210 285,56</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0,59</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907 725,30</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2,53</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ADIDAS AG 2.75% 06-11-30</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501 427,79</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1,40</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KERING 3.125% 27-11-29 EMTN</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406 297,51</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1,13</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Transport routier et ferroviaire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306 419,15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0,86</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DAIMLER TRUCK INTL FINANCE BV 3.875% 19-06-29</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306 419,15</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0,86</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7480" w:type="dxa"/>
            <w:gridSpan w:val="3"/>
            <w:tcBorders>
              <w:top w:val="single" w:sz="4" w:space="0" w:color="000000"/>
              <w:left w:val="single" w:sz="4" w:space="0" w:color="000000"/>
              <w:bottom w:val="single" w:sz="4" w:space="0" w:color="000000"/>
              <w:right w:val="none" w:sz="0" w:space="0" w:color="auto"/>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35 674 860,63</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99,57</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 secteur d’activité représente l’activité principale de l’émetteur de l’instrument financier ; il est issu de sources fiables reconnues au plan international (GICS et NACE principalement).</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C5DE3D3B17535722DB1271DB727E7CAC "" </w:instrText>
      </w:r>
      <w:r>
        <w:rPr>
          <w:rFonts w:ascii="Arial" w:eastAsia="Arial" w:hAnsi="Arial" w:cs="Arial"/>
          <w:b w:val="0"/>
          <w:i w:val="0"/>
          <w:strike w:val="0"/>
          <w:color w:val="000000"/>
          <w:sz w:val="0"/>
          <w:u w:val="none"/>
          <w:vertAlign w:val="baseline"/>
          <w:lang w:val="fr-FR"/>
        </w:rPr>
        <w:fldChar w:fldCharType="separate"/>
      </w:r>
      <w:bookmarkStart w:id="51" w:name="C5DE3D3B17535722DB1271DB727E7CAC"/>
      <w:bookmarkEnd w:id="51"/>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52" w:name="Inventaire des opérations à terme de dev"/>
      <w:bookmarkEnd w:id="52"/>
      <w:r>
        <w:rPr>
          <w:rFonts w:ascii="Arial" w:eastAsia="Arial" w:hAnsi="Arial" w:cs="Arial"/>
          <w:b/>
          <w:i w:val="0"/>
          <w:strike w:val="0"/>
          <w:color w:val="232323"/>
          <w:sz w:val="24"/>
          <w:u w:val="none"/>
          <w:vertAlign w:val="baseline"/>
          <w:lang w:val="fr-FR"/>
        </w:rPr>
        <w:t>Inventaire des opérations à terme de devises</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3" w:name="BK_C271C8EEB689153534D3CD97CCC8B94F"/>
      <w:bookmarkEnd w:id="53"/>
      <w:r>
        <w:rPr>
          <w:rFonts w:ascii="Arial" w:eastAsia="Arial" w:hAnsi="Arial" w:cs="Arial"/>
          <w:b w:val="0"/>
          <w:i w:val="0"/>
          <w:strike w:val="0"/>
          <w:color w:val="FFFFFF"/>
          <w:sz w:val="2"/>
          <w:u w:val="none"/>
          <w:vertAlign w:val="baseline"/>
          <w:lang w:val="fr-FR"/>
        </w:rPr>
        <w:t>Inventaire des opérations à terme de devises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6DD55163E0D0E7F0905C3DFAB75DB912 "" </w:instrText>
      </w:r>
      <w:r>
        <w:rPr>
          <w:rFonts w:ascii="Arial" w:eastAsia="Arial" w:hAnsi="Arial" w:cs="Arial"/>
          <w:b w:val="0"/>
          <w:i w:val="0"/>
          <w:strike w:val="0"/>
          <w:color w:val="000000"/>
          <w:sz w:val="0"/>
          <w:u w:val="none"/>
          <w:vertAlign w:val="baseline"/>
          <w:lang w:val="fr-FR"/>
        </w:rPr>
        <w:fldChar w:fldCharType="separate"/>
      </w:r>
      <w:bookmarkStart w:id="54" w:name="6DD55163E0D0E7F0905C3DFAB75DB912"/>
      <w:bookmarkEnd w:id="5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176"/>
        <w:gridCol w:w="1377"/>
        <w:gridCol w:w="1397"/>
        <w:gridCol w:w="839"/>
        <w:gridCol w:w="1497"/>
        <w:gridCol w:w="839"/>
        <w:gridCol w:w="1497"/>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livrer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4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r>
      <w:tr>
        <w:tblPrEx>
          <w:tblW w:w="5000" w:type="pct"/>
          <w:tblInd w:w="0" w:type="dxa"/>
          <w:tblLayout w:type="fixed"/>
          <w:tblCellMar>
            <w:left w:w="108" w:type="dxa"/>
            <w:right w:w="108" w:type="dxa"/>
          </w:tblCellMar>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 exprimé dans la devise de comptabilisation.</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0"/>
          <w:footerReference w:type="default" r:id="rId31"/>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136AB64426563CFD5E4B2D1448CCC658 "" </w:instrText>
      </w:r>
      <w:r>
        <w:rPr>
          <w:rFonts w:ascii="Arial" w:eastAsia="Arial" w:hAnsi="Arial" w:cs="Arial"/>
          <w:b w:val="0"/>
          <w:i w:val="0"/>
          <w:strike w:val="0"/>
          <w:color w:val="000000"/>
          <w:sz w:val="0"/>
          <w:u w:val="none"/>
          <w:vertAlign w:val="baseline"/>
          <w:lang w:val="fr-FR"/>
        </w:rPr>
        <w:fldChar w:fldCharType="separate"/>
      </w:r>
      <w:bookmarkStart w:id="55" w:name="136AB64426563CFD5E4B2D1448CCC658"/>
      <w:bookmarkEnd w:id="55"/>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56" w:name="Inventaire des instruments financiers à "/>
      <w:bookmarkEnd w:id="56"/>
      <w:r>
        <w:rPr>
          <w:rFonts w:ascii="Arial" w:eastAsia="Arial" w:hAnsi="Arial" w:cs="Arial"/>
          <w:b/>
          <w:i w:val="0"/>
          <w:strike w:val="0"/>
          <w:color w:val="232323"/>
          <w:sz w:val="24"/>
          <w:u w:val="none"/>
          <w:vertAlign w:val="baseline"/>
          <w:lang w:val="fr-FR"/>
        </w:rPr>
        <w:t>Inventaire des instruments financiers à terme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7" w:name="BK_3FE7834DDA19A5F7489E5CE0DC3E3989"/>
      <w:bookmarkEnd w:id="57"/>
      <w:r>
        <w:rPr>
          <w:rFonts w:ascii="Arial" w:eastAsia="Arial" w:hAnsi="Arial" w:cs="Arial"/>
          <w:b w:val="0"/>
          <w:i w:val="0"/>
          <w:strike w:val="0"/>
          <w:color w:val="FFFFFF"/>
          <w:sz w:val="2"/>
          <w:u w:val="none"/>
          <w:vertAlign w:val="baseline"/>
          <w:lang w:val="fr-FR"/>
        </w:rPr>
        <w:t>Inventaire des instruments financiers à terme</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C793D0BF9DB8095E11F98F92AA26BE06 "" </w:instrText>
      </w:r>
      <w:r>
        <w:rPr>
          <w:rFonts w:ascii="Arial" w:eastAsia="Arial" w:hAnsi="Arial" w:cs="Arial"/>
          <w:b w:val="0"/>
          <w:i w:val="0"/>
          <w:strike w:val="0"/>
          <w:color w:val="000000"/>
          <w:sz w:val="0"/>
          <w:u w:val="none"/>
          <w:vertAlign w:val="baseline"/>
          <w:lang w:val="fr-FR"/>
        </w:rPr>
        <w:fldChar w:fldCharType="separate"/>
      </w:r>
      <w:bookmarkStart w:id="58" w:name="C793D0BF9DB8095E11F98F92AA26BE06"/>
      <w:bookmarkEnd w:id="5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4B1C9ADCFAA63E399312CEBC1652C305 "" </w:instrText>
      </w:r>
      <w:r>
        <w:rPr>
          <w:rFonts w:ascii="Arial" w:eastAsia="Arial" w:hAnsi="Arial" w:cs="Arial"/>
          <w:b w:val="0"/>
          <w:i w:val="0"/>
          <w:strike w:val="0"/>
          <w:color w:val="000000"/>
          <w:sz w:val="0"/>
          <w:u w:val="none"/>
          <w:vertAlign w:val="baseline"/>
          <w:lang w:val="fr-FR"/>
        </w:rPr>
        <w:fldChar w:fldCharType="separate"/>
      </w:r>
      <w:bookmarkStart w:id="59" w:name="4B1C9ADCFAA63E399312CEBC1652C305"/>
      <w:bookmarkEnd w:id="59"/>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actions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0" w:name="BK_0CCF3D50BE45166626D58EE3B669B62D"/>
      <w:bookmarkEnd w:id="60"/>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5B48D738A4E360C5505DACED5DAE5B7E "" </w:instrText>
      </w:r>
      <w:r>
        <w:rPr>
          <w:rFonts w:ascii="Arial" w:eastAsia="Arial" w:hAnsi="Arial" w:cs="Arial"/>
          <w:b w:val="0"/>
          <w:i w:val="0"/>
          <w:strike w:val="0"/>
          <w:color w:val="000000"/>
          <w:sz w:val="0"/>
          <w:u w:val="none"/>
          <w:vertAlign w:val="baseline"/>
          <w:lang w:val="fr-FR"/>
        </w:rPr>
        <w:fldChar w:fldCharType="separate"/>
      </w:r>
      <w:bookmarkStart w:id="61" w:name="5B48D738A4E360C5505DACED5DAE5B7E"/>
      <w:bookmarkEnd w:id="61"/>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2"/>
          <w:footerReference w:type="default" r:id="rId33"/>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C452459513266891C3C444EE813E4999 "" </w:instrText>
      </w:r>
      <w:r>
        <w:rPr>
          <w:rFonts w:ascii="Arial" w:eastAsia="Arial" w:hAnsi="Arial" w:cs="Arial"/>
          <w:b w:val="0"/>
          <w:i w:val="0"/>
          <w:strike w:val="0"/>
          <w:color w:val="000000"/>
          <w:sz w:val="0"/>
          <w:u w:val="none"/>
          <w:vertAlign w:val="baseline"/>
          <w:lang w:val="fr-FR"/>
        </w:rPr>
        <w:fldChar w:fldCharType="separate"/>
      </w:r>
      <w:bookmarkStart w:id="62" w:name="C452459513266891C3C444EE813E4999"/>
      <w:bookmarkEnd w:id="62"/>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taux d'intérêts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3" w:name="BK_7EB06620CCACE5184C21E20959188D1F"/>
      <w:bookmarkEnd w:id="63"/>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388746BBC830FB4E57A9CE2C68C0D6DC "" </w:instrText>
      </w:r>
      <w:r>
        <w:rPr>
          <w:rFonts w:ascii="Arial" w:eastAsia="Arial" w:hAnsi="Arial" w:cs="Arial"/>
          <w:b w:val="0"/>
          <w:i w:val="0"/>
          <w:strike w:val="0"/>
          <w:color w:val="000000"/>
          <w:sz w:val="0"/>
          <w:u w:val="none"/>
          <w:vertAlign w:val="baseline"/>
          <w:lang w:val="fr-FR"/>
        </w:rPr>
        <w:fldChar w:fldCharType="separate"/>
      </w:r>
      <w:bookmarkStart w:id="64" w:name="388746BBC830FB4E57A9CE2C68C0D6DC"/>
      <w:bookmarkEnd w:id="6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E3R/0.541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13 838,62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E3R/0.75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20 527,16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E3R/0.875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14 749,55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E3R/1.125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19 473,53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E3R/1.125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13 691,23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E3R/1.875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20 385,36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E3R/2.125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10 975,52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E3R/2.5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-1 587,69</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6 154,18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696,24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415,23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E3R/2.875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1 937,35</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E3R/3.0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1 764,27</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E3R/3.0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4 387,61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E3R/3.125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-1 748,92</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E3R/3.125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60,48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E3R/3.125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346,11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E3R/3.125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-200,39</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E3R/3.25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-278,09</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E3R/3.29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-3 005,15</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E3R/3.3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-1 220,32</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E3R/3.375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-5 630,66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E3R/3.375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-1 054,97</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-5 142,68</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-6 758,51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E3R/3.65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-10 151,38</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E3R/3.7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-9 765,39</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-196,81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E3R/3.75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279,38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E3R/3.875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-4 858,54</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E3R/3.875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-1 411,01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E3R/3.875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-5 402,86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E3R/3.875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2 575,50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E3R/3.875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-20 104,27</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E3R/4.0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-2 636,23</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E3R/4.0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-3 221,86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bl>
    <w:p>
      <w:pPr>
        <w:sectPr>
          <w:headerReference w:type="default" r:id="rId34"/>
          <w:footerReference w:type="default" r:id="rId35"/>
          <w:pgSz w:w="11900" w:h="16840"/>
          <w:pgMar w:top="2154" w:right="1134" w:bottom="1134" w:left="1134" w:header="400" w:footer="400"/>
          <w:cols w:space="720"/>
        </w:sectPr>
      </w:pP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01391AB668CA0BD7DCAE740DF50E42A8 "" </w:instrText>
      </w:r>
      <w:r>
        <w:rPr>
          <w:rFonts w:ascii="Arial" w:eastAsia="Arial" w:hAnsi="Arial" w:cs="Arial"/>
          <w:b w:val="0"/>
          <w:i w:val="0"/>
          <w:strike w:val="0"/>
          <w:color w:val="000000"/>
          <w:sz w:val="0"/>
          <w:u w:val="none"/>
          <w:vertAlign w:val="baseline"/>
          <w:lang w:val="fr-FR"/>
        </w:rPr>
        <w:fldChar w:fldCharType="separate"/>
      </w:r>
      <w:bookmarkStart w:id="65" w:name="01391AB668CA0BD7DCAE740DF50E42A8"/>
      <w:bookmarkEnd w:id="65"/>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 xml:space="preserve">Inventaire des instruments financiers à terme - taux d'intérêts </w:t>
      </w:r>
    </w:p>
    <w:p>
      <w:pPr>
        <w:pStyle w:val="NoRefToc"/>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79FBB8A1097A54E4B16DB35B397A9302 "" </w:instrText>
      </w:r>
      <w:r>
        <w:rPr>
          <w:rFonts w:ascii="Arial" w:eastAsia="Arial" w:hAnsi="Arial" w:cs="Arial"/>
          <w:b w:val="0"/>
          <w:i w:val="0"/>
          <w:strike w:val="0"/>
          <w:color w:val="000000"/>
          <w:sz w:val="0"/>
          <w:u w:val="none"/>
          <w:vertAlign w:val="baseline"/>
          <w:lang w:val="fr-FR"/>
        </w:rPr>
        <w:fldChar w:fldCharType="separate"/>
      </w:r>
      <w:bookmarkStart w:id="66" w:name="79FBB8A1097A54E4B16DB35B397A9302"/>
      <w:bookmarkEnd w:id="6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E3R/4.125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-11 539,31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E3R/4.25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-21 469,91</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E3R/4.375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-9 612,14</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E3R/4.565 29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-16 374,36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E3R/4.625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-26 817,52</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E3R/5.5 28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-10 867,79</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E6R/3.0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5 651,89</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E6R/3.075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-2 424,16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E6R/3.2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3 831,18</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E6R/3.25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-187,47</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E6R/3.25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931,26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E6R/3.371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-4 400,17</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E6R/3.375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200,13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E6R/3.375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-1 216,26</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370 000,00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E6R/3.45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-5 056,88</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E6R/3.5 30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-549,58</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873,66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E6R/3.625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-134,07</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E6R/3.625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4 456,26</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E6R/3.625 34</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369,41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E6R/3.875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-480,24</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E6R/3.875 32</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3 443,73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E6R/3.875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-748,22</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E6R/3.901 33</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-2 050,14</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210 000,00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OISEST/3.625 31</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-2 595,40</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152 014,84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-200 899,35</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16 950 000,00</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152 014,84</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-200 899,35</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16 950 000,00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6"/>
          <w:footerReference w:type="default" r:id="rId37"/>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910947ACD66203B40C49FCB58C3D8A6D "" </w:instrText>
      </w:r>
      <w:r>
        <w:rPr>
          <w:rFonts w:ascii="Arial" w:eastAsia="Arial" w:hAnsi="Arial" w:cs="Arial"/>
          <w:b w:val="0"/>
          <w:i w:val="0"/>
          <w:strike w:val="0"/>
          <w:color w:val="000000"/>
          <w:sz w:val="0"/>
          <w:u w:val="none"/>
          <w:vertAlign w:val="baseline"/>
          <w:lang w:val="fr-FR"/>
        </w:rPr>
        <w:fldChar w:fldCharType="separate"/>
      </w:r>
      <w:bookmarkStart w:id="67" w:name="910947ACD66203B40C49FCB58C3D8A6D"/>
      <w:bookmarkEnd w:id="67"/>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de change</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8" w:name="BK_35EFD357CAB5D03B39935ACEFF9F1C44"/>
      <w:bookmarkEnd w:id="68"/>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1886F56547D06C9C8B8304D3BA01D567 "" </w:instrText>
      </w:r>
      <w:r>
        <w:rPr>
          <w:rFonts w:ascii="Arial" w:eastAsia="Arial" w:hAnsi="Arial" w:cs="Arial"/>
          <w:b w:val="0"/>
          <w:i w:val="0"/>
          <w:strike w:val="0"/>
          <w:color w:val="000000"/>
          <w:sz w:val="0"/>
          <w:u w:val="none"/>
          <w:vertAlign w:val="baseline"/>
          <w:lang w:val="fr-FR"/>
        </w:rPr>
        <w:fldChar w:fldCharType="separate"/>
      </w:r>
      <w:bookmarkStart w:id="69" w:name="1886F56547D06C9C8B8304D3BA01D567"/>
      <w:bookmarkEnd w:id="6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9A74209C5C5512718AC8F71699CB0BC6 "" </w:instrText>
      </w:r>
      <w:r>
        <w:rPr>
          <w:rFonts w:ascii="Arial" w:eastAsia="Arial" w:hAnsi="Arial" w:cs="Arial"/>
          <w:b w:val="0"/>
          <w:i w:val="0"/>
          <w:strike w:val="0"/>
          <w:color w:val="000000"/>
          <w:sz w:val="0"/>
          <w:u w:val="none"/>
          <w:vertAlign w:val="baseline"/>
          <w:lang w:val="fr-FR"/>
        </w:rPr>
        <w:fldChar w:fldCharType="separate"/>
      </w:r>
      <w:bookmarkStart w:id="70" w:name="9A74209C5C5512718AC8F71699CB0BC6"/>
      <w:bookmarkEnd w:id="70"/>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sur risque de crédit</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1" w:name="BK_EA55CB4062310CE49C2FA609891ECFCA"/>
      <w:bookmarkEnd w:id="71"/>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A93DDA2E0ECCEE99A694D034DB586999 "" </w:instrText>
      </w:r>
      <w:r>
        <w:rPr>
          <w:rFonts w:ascii="Arial" w:eastAsia="Arial" w:hAnsi="Arial" w:cs="Arial"/>
          <w:b w:val="0"/>
          <w:i w:val="0"/>
          <w:strike w:val="0"/>
          <w:color w:val="000000"/>
          <w:sz w:val="0"/>
          <w:u w:val="none"/>
          <w:vertAlign w:val="baseline"/>
          <w:lang w:val="fr-FR"/>
        </w:rPr>
        <w:fldChar w:fldCharType="separate"/>
      </w:r>
      <w:bookmarkStart w:id="72" w:name="A93DDA2E0ECCEE99A694D034DB586999"/>
      <w:bookmarkEnd w:id="7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38"/>
          <w:footerReference w:type="default" r:id="rId39"/>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CBA709037E91C5B40303DC6551E98195 "" </w:instrText>
      </w:r>
      <w:r>
        <w:rPr>
          <w:rFonts w:ascii="Arial" w:eastAsia="Arial" w:hAnsi="Arial" w:cs="Arial"/>
          <w:b w:val="0"/>
          <w:i w:val="0"/>
          <w:strike w:val="0"/>
          <w:color w:val="000000"/>
          <w:sz w:val="0"/>
          <w:u w:val="none"/>
          <w:vertAlign w:val="baseline"/>
          <w:lang w:val="fr-FR"/>
        </w:rPr>
        <w:fldChar w:fldCharType="separate"/>
      </w:r>
      <w:bookmarkStart w:id="73" w:name="CBA709037E91C5B40303DC6551E98195"/>
      <w:bookmarkEnd w:id="73"/>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autres expositions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4" w:name="BK_7BB7E4EAED723F8B680E5B6F522C62B9"/>
      <w:bookmarkEnd w:id="74"/>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64C113DF72808852301429E9B5DFFAE8 "" </w:instrText>
      </w:r>
      <w:r>
        <w:rPr>
          <w:rFonts w:ascii="Arial" w:eastAsia="Arial" w:hAnsi="Arial" w:cs="Arial"/>
          <w:b w:val="0"/>
          <w:i w:val="0"/>
          <w:strike w:val="0"/>
          <w:color w:val="000000"/>
          <w:sz w:val="0"/>
          <w:u w:val="none"/>
          <w:vertAlign w:val="baseline"/>
          <w:lang w:val="fr-FR"/>
        </w:rPr>
        <w:fldChar w:fldCharType="separate"/>
      </w:r>
      <w:bookmarkStart w:id="75" w:name="64C113DF72808852301429E9B5DFFAE8"/>
      <w:bookmarkEnd w:id="7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09CCD799406512491EC68E4F29EDEC08 "" </w:instrText>
      </w:r>
      <w:r>
        <w:rPr>
          <w:rFonts w:ascii="Arial" w:eastAsia="Arial" w:hAnsi="Arial" w:cs="Arial"/>
          <w:b w:val="0"/>
          <w:i w:val="0"/>
          <w:strike w:val="0"/>
          <w:color w:val="000000"/>
          <w:sz w:val="0"/>
          <w:u w:val="none"/>
          <w:vertAlign w:val="baseline"/>
          <w:lang w:val="fr-FR"/>
        </w:rPr>
        <w:fldChar w:fldCharType="separate"/>
      </w:r>
      <w:bookmarkStart w:id="76" w:name="09CCD799406512491EC68E4F29EDEC08"/>
      <w:bookmarkEnd w:id="76"/>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Inventaire des instruments financiers à terme ou des opérations à terme de devises utilisés en couverture d'une catégorie de part</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77" w:name="BK_767E7A61112260BD3A36615A069EA1E8"/>
      <w:bookmarkEnd w:id="77"/>
      <w:r>
        <w:rPr>
          <w:rFonts w:ascii="Arial" w:eastAsia="Arial" w:hAnsi="Arial" w:cs="Arial"/>
          <w:b w:val="0"/>
          <w:i w:val="0"/>
          <w:strike w:val="0"/>
          <w:color w:val="FFFFFF"/>
          <w:sz w:val="2"/>
          <w:u w:val="none"/>
          <w:vertAlign w:val="baseline"/>
          <w:lang w:val="fr-FR"/>
        </w:rPr>
        <w:t>Inventaire des instruments financiers à terme ou des opérations à terme de devises utilisés en couverture d'une catégorie de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CBA6D8F4F2FB5B08AB2C4A55FDAC6495 "" </w:instrText>
      </w:r>
      <w:r>
        <w:rPr>
          <w:rFonts w:ascii="Arial" w:eastAsia="Arial" w:hAnsi="Arial" w:cs="Arial"/>
          <w:b w:val="0"/>
          <w:i w:val="0"/>
          <w:strike w:val="0"/>
          <w:color w:val="000000"/>
          <w:sz w:val="0"/>
          <w:u w:val="none"/>
          <w:vertAlign w:val="baseline"/>
          <w:lang w:val="fr-FR"/>
        </w:rPr>
        <w:fldChar w:fldCharType="separate"/>
      </w:r>
      <w:bookmarkStart w:id="78" w:name="CBA6D8F4F2FB5B08AB2C4A55FDAC6495"/>
      <w:bookmarkEnd w:id="78"/>
      <w:r>
        <w:rPr>
          <w:rFonts w:ascii="Arial" w:eastAsia="Arial" w:hAnsi="Arial" w:cs="Arial"/>
          <w:b w:val="0"/>
          <w:i w:val="0"/>
          <w:strike w:val="0"/>
          <w:color w:val="000000"/>
          <w:sz w:val="0"/>
          <w:u w:val="none"/>
          <w:vertAlign w:val="baseline"/>
          <w:lang w:val="fr-FR"/>
        </w:rPr>
        <w:fldChar w:fldCharType="end"/>
      </w:r>
    </w:p>
    <w:p>
      <w:pPr>
        <w:pStyle w:val="Text"/>
        <w:pBdr>
          <w:top w:val="none" w:sz="0" w:space="0" w:color="auto"/>
          <w:bottom w:val="none" w:sz="0" w:space="0" w:color="auto"/>
        </w:pBdr>
        <w:bidi w:val="0"/>
        <w:spacing w:before="0" w:after="15" w:line="240" w:lineRule="auto"/>
        <w:ind w:left="0" w:right="0"/>
        <w:jc w:val="both"/>
        <w:rPr>
          <w:rFonts w:ascii="Arial" w:eastAsia="Arial" w:hAnsi="Arial" w:cs="Arial"/>
          <w:b w:val="0"/>
          <w:i w:val="0"/>
          <w:strike w:val="0"/>
          <w:color w:val="232323"/>
          <w:sz w:val="20"/>
          <w:u w:val="none"/>
          <w:vertAlign w:val="baseline"/>
          <w:lang w:val="fr-FR"/>
        </w:rPr>
      </w:pPr>
      <w:r>
        <w:rPr>
          <w:rFonts w:ascii="Arial" w:eastAsia="Arial" w:hAnsi="Arial" w:cs="Arial"/>
          <w:b w:val="0"/>
          <w:i w:val="0"/>
          <w:strike w:val="0"/>
          <w:color w:val="232323"/>
          <w:sz w:val="20"/>
          <w:u w:val="none"/>
          <w:vertAlign w:val="baseline"/>
          <w:lang w:val="fr-FR"/>
        </w:rPr>
        <w:t>L’OPC sous revue n’est pas concerné par cette rubrique.</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596AB5296DC19947AC23DF86CF6B75D3 "" </w:instrText>
      </w:r>
      <w:r>
        <w:rPr>
          <w:rFonts w:ascii="Arial" w:eastAsia="Arial" w:hAnsi="Arial" w:cs="Arial"/>
          <w:b w:val="0"/>
          <w:i w:val="0"/>
          <w:strike w:val="0"/>
          <w:color w:val="000000"/>
          <w:sz w:val="0"/>
          <w:u w:val="none"/>
          <w:vertAlign w:val="baseline"/>
          <w:lang w:val="fr-FR"/>
        </w:rPr>
        <w:fldChar w:fldCharType="separate"/>
      </w:r>
      <w:bookmarkStart w:id="79" w:name="596AB5296DC19947AC23DF86CF6B75D3"/>
      <w:bookmarkEnd w:id="79"/>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0" w:line="240" w:lineRule="auto"/>
        <w:ind w:left="0" w:right="2400"/>
        <w:jc w:val="both"/>
        <w:rPr>
          <w:rFonts w:ascii="Arial" w:eastAsia="Arial" w:hAnsi="Arial" w:cs="Arial"/>
          <w:b w:val="0"/>
          <w:i w:val="0"/>
          <w:strike w:val="0"/>
          <w:color w:val="232323"/>
          <w:sz w:val="2"/>
          <w:u w:val="none"/>
          <w:vertAlign w:val="baseline"/>
          <w:lang w:val="fr-FR"/>
        </w:rPr>
      </w:pPr>
      <w:r>
        <w:rPr>
          <w:rFonts w:ascii="Arial" w:eastAsia="Arial" w:hAnsi="Arial" w:cs="Arial"/>
          <w:b w:val="0"/>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80" w:name="Synthèse de l’inventaire"/>
      <w:bookmarkEnd w:id="80"/>
      <w:r>
        <w:rPr>
          <w:rFonts w:ascii="Arial" w:eastAsia="Arial" w:hAnsi="Arial" w:cs="Arial"/>
          <w:b/>
          <w:i w:val="0"/>
          <w:strike w:val="0"/>
          <w:color w:val="232323"/>
          <w:sz w:val="24"/>
          <w:u w:val="none"/>
          <w:vertAlign w:val="baseline"/>
          <w:lang w:val="fr-FR"/>
        </w:rPr>
        <w:t>Synthèse de l’inventaire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1" w:name="BK_22038808FD5EFA8B055C6C27819604C2"/>
      <w:bookmarkEnd w:id="81"/>
      <w:r>
        <w:rPr>
          <w:rFonts w:ascii="Arial" w:eastAsia="Arial" w:hAnsi="Arial" w:cs="Arial"/>
          <w:b w:val="0"/>
          <w:i w:val="0"/>
          <w:strike w:val="0"/>
          <w:color w:val="FFFFFF"/>
          <w:sz w:val="2"/>
          <w:u w:val="none"/>
          <w:vertAlign w:val="baseline"/>
          <w:lang w:val="fr-FR"/>
        </w:rPr>
        <w:t>Synthèse de l’inventaire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149E3D91AF1437922CF7C21493BB0EE6 "" </w:instrText>
      </w:r>
      <w:r>
        <w:rPr>
          <w:rFonts w:ascii="Arial" w:eastAsia="Arial" w:hAnsi="Arial" w:cs="Arial"/>
          <w:b w:val="0"/>
          <w:i w:val="0"/>
          <w:strike w:val="0"/>
          <w:color w:val="000000"/>
          <w:sz w:val="0"/>
          <w:u w:val="none"/>
          <w:vertAlign w:val="baseline"/>
          <w:lang w:val="fr-FR"/>
        </w:rPr>
        <w:fldChar w:fldCharType="separate"/>
      </w:r>
      <w:bookmarkStart w:id="82" w:name="149E3D91AF1437922CF7C21493BB0EE6"/>
      <w:bookmarkEnd w:id="8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1"/>
        <w:gridCol w:w="289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740" w:type="dxa"/>
            <w:tcBorders>
              <w:bottom w:val="single" w:sz="6" w:space="0" w:color="000000"/>
            </w:tcBorders>
            <w:tcMar>
              <w:top w:w="0" w:type="dxa"/>
              <w:left w:w="0" w:type="dxa"/>
              <w:bottom w:w="0" w:type="dxa"/>
              <w:right w:w="0" w:type="dxa"/>
            </w:tcMar>
            <w:vAlign w:val="bottom"/>
          </w:tcPr>
          <w:p>
            <w:pPr>
              <w:pStyle w:val="EnteteTabNoBordureUpNoGras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r>
      <w:tr>
        <w:tblPrEx>
          <w:tblW w:w="5000" w:type="pct"/>
          <w:tblInd w:w="0" w:type="dxa"/>
          <w:tblLayout w:type="fixed"/>
          <w:tblCellMar>
            <w:left w:w="108" w:type="dxa"/>
            <w:right w:w="108" w:type="dxa"/>
          </w:tblCellMar>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pPr>
              <w:pStyle w:val="Tab1FirstColNonGrasBordureUp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35 674 860,63</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-48 884,51</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305 932,83</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-102 508,57</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38"/>
        </w:trPr>
        <w:tc>
          <w:tcPr>
            <w:tcW w:w="6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35 829 400,38</w:t>
            </w:r>
          </w:p>
        </w:tc>
      </w:tr>
    </w:tbl>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4292"/>
        <w:gridCol w:w="1398"/>
        <w:gridCol w:w="1976"/>
        <w:gridCol w:w="195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liquidative</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BFT LCR NIVEAU 2</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3 197,970</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11 203,79</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sectPr>
      <w:headerReference w:type="default" r:id="rId40"/>
      <w:footerReference w:type="default" r:id="rId41"/>
      <w:pgSz w:w="11900" w:h="16840"/>
      <w:pgMar w:top="2154" w:right="1134" w:bottom="1134" w:left="1134" w:header="400" w:footer="40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embedRegular r:id="rId1" w:subsetted="1" w:fontKey="{D8BE9BE9-25EB-4CEB-A45B-32457A3FE7AE}"/>
  </w:font>
  <w:font w:name="Arial">
    <w:panose1 w:val="020B0604020202020204"/>
    <w:charset w:val="CC"/>
    <w:family w:val="swiss"/>
    <w:pitch w:val="variable"/>
    <w:sig w:usb0="20007A87" w:usb1="80000000" w:usb2="00000008" w:usb3="00000000" w:csb0="000001FF" w:csb1="00000000"/>
    <w:embedRegular r:id="rId2" w:subsetted="1" w:fontKey="{9444488C-900A-45C2-8263-27D2E6C49DBB}"/>
    <w:embedBold r:id="rId3" w:subsetted="1" w:fontKey="{B72AB25C-637F-4834-97C6-56F8C5FB27EC}"/>
  </w:font>
  <w:font w:name="Calibri">
    <w:panose1 w:val="020F0502020204030204"/>
    <w:charset w:val="00"/>
    <w:family w:val="swiss"/>
    <w:pitch w:val="variable"/>
    <w:sig w:usb0="00000000" w:usb1="00000000" w:usb2="00000000" w:usb3="00000000" w:csb0="00000001" w:csb1="00000000"/>
    <w:embedBold r:id="rId4" w:subsetted="1" w:fontKey="{DC729FBC-6C33-4076-8A61-6B058005FB65}"/>
  </w:font>
  <w:font w:name="Cambria">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10</w:t>
          </w:r>
          <w:r>
            <w:rPr>
              <w:rFonts w:ascii="Arial" w:eastAsia="Arial" w:hAnsi="Arial" w:cs="Arial"/>
              <w:b w:val="0"/>
              <w:i w:val="0"/>
              <w:strike w:val="0"/>
              <w:color w:val="000000"/>
              <w:sz w:val="16"/>
              <w:u w:val="none"/>
              <w:vertAlign w:val="baseline"/>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11</w:t>
          </w:r>
          <w:r>
            <w:rPr>
              <w:rFonts w:ascii="Arial" w:eastAsia="Arial" w:hAnsi="Arial" w:cs="Arial"/>
              <w:b w:val="0"/>
              <w:i w:val="0"/>
              <w:strike w:val="0"/>
              <w:color w:val="000000"/>
              <w:sz w:val="16"/>
              <w:u w:val="none"/>
              <w:vertAlign w:val="baseline"/>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12</w:t>
          </w:r>
          <w:r>
            <w:rPr>
              <w:rFonts w:ascii="Arial" w:eastAsia="Arial" w:hAnsi="Arial" w:cs="Arial"/>
              <w:b w:val="0"/>
              <w:i w:val="0"/>
              <w:strike w:val="0"/>
              <w:color w:val="000000"/>
              <w:sz w:val="16"/>
              <w:u w:val="none"/>
              <w:vertAlign w:val="baseline"/>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13</w:t>
          </w:r>
          <w:r>
            <w:rPr>
              <w:rFonts w:ascii="Arial" w:eastAsia="Arial" w:hAnsi="Arial" w:cs="Arial"/>
              <w:b w:val="0"/>
              <w:i w:val="0"/>
              <w:strike w:val="0"/>
              <w:color w:val="000000"/>
              <w:sz w:val="16"/>
              <w:u w:val="none"/>
              <w:vertAlign w:val="baseline"/>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14</w:t>
          </w:r>
          <w:r>
            <w:rPr>
              <w:rFonts w:ascii="Arial" w:eastAsia="Arial" w:hAnsi="Arial" w:cs="Arial"/>
              <w:b w:val="0"/>
              <w:i w:val="0"/>
              <w:strike w:val="0"/>
              <w:color w:val="000000"/>
              <w:sz w:val="16"/>
              <w:u w:val="none"/>
              <w:vertAlign w:val="baseline"/>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15</w:t>
          </w:r>
          <w:r>
            <w:rPr>
              <w:rFonts w:ascii="Arial" w:eastAsia="Arial" w:hAnsi="Arial" w:cs="Arial"/>
              <w:b w:val="0"/>
              <w:i w:val="0"/>
              <w:strike w:val="0"/>
              <w:color w:val="000000"/>
              <w:sz w:val="16"/>
              <w:u w:val="none"/>
              <w:vertAlign w:val="baseline"/>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16</w:t>
          </w:r>
          <w:r>
            <w:rPr>
              <w:rFonts w:ascii="Arial" w:eastAsia="Arial" w:hAnsi="Arial" w:cs="Arial"/>
              <w:b w:val="0"/>
              <w:i w:val="0"/>
              <w:strike w:val="0"/>
              <w:color w:val="000000"/>
              <w:sz w:val="16"/>
              <w:u w:val="none"/>
              <w:vertAlign w:val="baseline"/>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17</w:t>
          </w:r>
          <w:r>
            <w:rPr>
              <w:rFonts w:ascii="Arial" w:eastAsia="Arial" w:hAnsi="Arial" w:cs="Arial"/>
              <w:b w:val="0"/>
              <w:i w:val="0"/>
              <w:strike w:val="0"/>
              <w:color w:val="000000"/>
              <w:sz w:val="16"/>
              <w:u w:val="none"/>
              <w:vertAlign w:val="baseline"/>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18</w:t>
          </w:r>
          <w:r>
            <w:rPr>
              <w:rFonts w:ascii="Arial" w:eastAsia="Arial" w:hAnsi="Arial" w:cs="Arial"/>
              <w:b w:val="0"/>
              <w:i w:val="0"/>
              <w:strike w:val="0"/>
              <w:color w:val="000000"/>
              <w:sz w:val="16"/>
              <w:u w:val="none"/>
              <w:vertAlign w:val="baseline"/>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w:t>
          </w:r>
          <w:r>
            <w:rPr>
              <w:rFonts w:ascii="Arial" w:eastAsia="Arial" w:hAnsi="Arial" w:cs="Arial"/>
              <w:b w:val="0"/>
              <w:i w:val="0"/>
              <w:strike w:val="0"/>
              <w:color w:val="000000"/>
              <w:sz w:val="16"/>
              <w:u w:val="none"/>
              <w:vertAlign w:val="baseline"/>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3</w:t>
          </w:r>
          <w:r>
            <w:rPr>
              <w:rFonts w:ascii="Arial" w:eastAsia="Arial" w:hAnsi="Arial" w:cs="Arial"/>
              <w:b w:val="0"/>
              <w:i w:val="0"/>
              <w:strike w:val="0"/>
              <w:color w:val="000000"/>
              <w:sz w:val="16"/>
              <w:u w:val="none"/>
              <w:vertAlign w:val="baseline"/>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4</w:t>
          </w:r>
          <w:r>
            <w:rPr>
              <w:rFonts w:ascii="Arial" w:eastAsia="Arial" w:hAnsi="Arial" w:cs="Arial"/>
              <w:b w:val="0"/>
              <w:i w:val="0"/>
              <w:strike w:val="0"/>
              <w:color w:val="000000"/>
              <w:sz w:val="16"/>
              <w:u w:val="none"/>
              <w:vertAlign w:val="baseline"/>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5</w:t>
          </w:r>
          <w:r>
            <w:rPr>
              <w:rFonts w:ascii="Arial" w:eastAsia="Arial" w:hAnsi="Arial" w:cs="Arial"/>
              <w:b w:val="0"/>
              <w:i w:val="0"/>
              <w:strike w:val="0"/>
              <w:color w:val="000000"/>
              <w:sz w:val="16"/>
              <w:u w:val="none"/>
              <w:vertAlign w:val="baseline"/>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6</w:t>
          </w:r>
          <w:r>
            <w:rPr>
              <w:rFonts w:ascii="Arial" w:eastAsia="Arial" w:hAnsi="Arial" w:cs="Arial"/>
              <w:b w:val="0"/>
              <w:i w:val="0"/>
              <w:strike w:val="0"/>
              <w:color w:val="000000"/>
              <w:sz w:val="16"/>
              <w:u w:val="none"/>
              <w:vertAlign w:val="baseline"/>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7</w:t>
          </w:r>
          <w:r>
            <w:rPr>
              <w:rFonts w:ascii="Arial" w:eastAsia="Arial" w:hAnsi="Arial" w:cs="Arial"/>
              <w:b w:val="0"/>
              <w:i w:val="0"/>
              <w:strike w:val="0"/>
              <w:color w:val="000000"/>
              <w:sz w:val="16"/>
              <w:u w:val="none"/>
              <w:vertAlign w:val="baseline"/>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8</w:t>
          </w:r>
          <w:r>
            <w:rPr>
              <w:rFonts w:ascii="Arial" w:eastAsia="Arial" w:hAnsi="Arial" w:cs="Arial"/>
              <w:b w:val="0"/>
              <w:i w:val="0"/>
              <w:strike w:val="0"/>
              <w:color w:val="000000"/>
              <w:sz w:val="16"/>
              <w:u w:val="none"/>
              <w:vertAlign w:val="baseline"/>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30/06/2026</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9</w:t>
          </w:r>
          <w:r>
            <w:rPr>
              <w:rFonts w:ascii="Arial" w:eastAsia="Arial" w:hAnsi="Arial" w:cs="Arial"/>
              <w:b w:val="0"/>
              <w:i w:val="0"/>
              <w:strike w:val="0"/>
              <w:color w:val="000000"/>
              <w:sz w:val="16"/>
              <w:u w:val="none"/>
              <w:vertAlign w:val="baseline"/>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
      <w:pBdr>
        <w:top w:val="none" w:sz="0" w:space="0" w:color="auto"/>
        <w:bottom w:val="none" w:sz="0" w:space="0" w:color="auto"/>
      </w:pBdr>
      <w:bidi w:val="0"/>
      <w:spacing w:before="0"/>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OPCVM BFT LCR NIVEAU 2</w:t>
    </w:r>
  </w:p>
  <w:p>
    <w:pPr>
      <w:spacing w:after="150" w:line="240" w:lineRule="exact"/>
      <w:rPr>
        <w:sz w:val="24"/>
      </w:rPr>
    </w:pP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5E79D1"/>
    <w:rsid w:val="00C47C2A"/>
    <w:rsid w:val="00E437AA"/>
    <w:rsid w:val="00FC3CB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0" w:after="0" w:line="240" w:lineRule="auto"/>
      <w:ind w:left="0" w:right="0" w:firstLine="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0" w:after="0" w:line="240" w:lineRule="auto"/>
      <w:ind w:left="0" w:right="0" w:firstLine="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before="0" w:after="160" w:line="240" w:lineRule="auto"/>
      <w:ind w:left="0" w:right="0" w:firstLine="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before="0" w:after="0" w:line="240" w:lineRule="auto"/>
      <w:ind w:left="0" w:right="0" w:firstLine="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line="240" w:lineRule="auto"/>
      <w:ind w:left="0" w:right="0" w:firstLine="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spacing w:before="0" w:after="0" w:line="240" w:lineRule="auto"/>
      <w:ind w:left="0" w:right="0" w:firstLine="0"/>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spacing w:before="0" w:after="0" w:line="240" w:lineRule="auto"/>
      <w:ind w:left="0" w:right="0" w:firstLine="0"/>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0" w:after="0" w:line="240" w:lineRule="auto"/>
      <w:ind w:left="0" w:right="0" w:firstLine="0"/>
      <w:jc w:val="both"/>
      <w:outlineLvl w:val="7"/>
    </w:pPr>
    <w:rPr>
      <w:rFonts w:ascii="Arial" w:eastAsia="Arial" w:hAnsi="Arial" w:cs="Arial"/>
      <w:i/>
      <w:iCs/>
      <w:color w:val="232323"/>
      <w:sz w:val="18"/>
    </w:rPr>
  </w:style>
  <w:style w:type="paragraph" w:styleId="Heading9">
    <w:name w:val="heading 9"/>
    <w:basedOn w:val="Normal"/>
    <w:next w:val="Normal"/>
    <w:qFormat/>
    <w:rsid w:val="00EF7B96"/>
    <w:pPr>
      <w:spacing w:before="0" w:after="0" w:line="240" w:lineRule="auto"/>
      <w:ind w:left="0" w:right="0" w:firstLine="0"/>
      <w:jc w:val="both"/>
      <w:outlineLvl w:val="8"/>
    </w:pPr>
    <w:rPr>
      <w:rFonts w:ascii="Arial" w:eastAsia="Arial" w:hAnsi="Arial" w:cs="Arial"/>
      <w:color w:val="232323"/>
      <w:sz w:val="18"/>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mpleStyle">
    <w:name w:val="SimpleStyle"/>
    <w:qFormat/>
    <w:pPr>
      <w:spacing w:before="0" w:after="0" w:line="240" w:lineRule="auto"/>
      <w:ind w:left="0" w:right="0" w:firstLine="0"/>
      <w:jc w:val="both"/>
    </w:pPr>
    <w:rPr>
      <w:rFonts w:ascii="Arial" w:eastAsia="Arial" w:hAnsi="Arial" w:cs="Arial"/>
      <w:color w:val="232323"/>
      <w:sz w:val="18"/>
    </w:rPr>
  </w:style>
  <w:style w:type="paragraph" w:customStyle="1" w:styleId="TechnicalBookmark">
    <w:name w:val="TechnicalBookmark"/>
    <w:qFormat/>
    <w:pPr>
      <w:spacing w:before="0" w:after="0" w:line="240" w:lineRule="auto"/>
      <w:ind w:left="0" w:right="0" w:firstLine="0"/>
      <w:jc w:val="both"/>
    </w:pPr>
    <w:rPr>
      <w:rFonts w:ascii="Arial" w:eastAsia="Arial" w:hAnsi="Arial" w:cs="Arial"/>
      <w:color w:val="000000"/>
      <w:sz w:val="0"/>
    </w:rPr>
  </w:style>
  <w:style w:type="paragraph" w:customStyle="1" w:styleId="RefToc1">
    <w:name w:val="RefToc1"/>
    <w:qFormat/>
    <w:pPr>
      <w:spacing w:before="0" w:after="0" w:line="240" w:lineRule="auto"/>
      <w:ind w:left="0" w:right="0" w:firstLine="0"/>
      <w:jc w:val="both"/>
    </w:pPr>
    <w:rPr>
      <w:rFonts w:ascii="Arial" w:eastAsia="Arial" w:hAnsi="Arial" w:cs="Arial"/>
      <w:color w:val="FFFFFF"/>
      <w:sz w:val="2"/>
    </w:rPr>
  </w:style>
  <w:style w:type="paragraph" w:customStyle="1" w:styleId="RefToc2">
    <w:name w:val="RefToc2"/>
    <w:qFormat/>
    <w:pPr>
      <w:spacing w:before="0" w:after="0" w:line="240" w:lineRule="auto"/>
      <w:ind w:left="0" w:right="0" w:firstLine="0"/>
      <w:jc w:val="both"/>
    </w:pPr>
    <w:rPr>
      <w:rFonts w:ascii="Arial" w:eastAsia="Arial" w:hAnsi="Arial" w:cs="Arial"/>
      <w:color w:val="FFFFFF"/>
      <w:sz w:val="2"/>
    </w:rPr>
  </w:style>
  <w:style w:type="paragraph" w:customStyle="1" w:styleId="RefToc3">
    <w:name w:val="RefToc3"/>
    <w:qFormat/>
    <w:pPr>
      <w:spacing w:before="0" w:after="0" w:line="240" w:lineRule="auto"/>
      <w:ind w:left="0" w:right="0" w:firstLine="0"/>
      <w:jc w:val="both"/>
    </w:pPr>
    <w:rPr>
      <w:rFonts w:ascii="Arial" w:eastAsia="Arial" w:hAnsi="Arial" w:cs="Arial"/>
      <w:color w:val="FFFFFF"/>
      <w:sz w:val="2"/>
    </w:rPr>
  </w:style>
  <w:style w:type="paragraph" w:customStyle="1" w:styleId="RefToc4">
    <w:name w:val="RefToc4"/>
    <w:qFormat/>
    <w:pPr>
      <w:spacing w:before="0" w:after="0" w:line="240" w:lineRule="auto"/>
      <w:ind w:left="0" w:right="0" w:firstLine="0"/>
      <w:jc w:val="both"/>
    </w:pPr>
    <w:rPr>
      <w:rFonts w:ascii="Arial" w:eastAsia="Arial" w:hAnsi="Arial" w:cs="Arial"/>
      <w:color w:val="FFFFFF"/>
      <w:sz w:val="2"/>
    </w:rPr>
  </w:style>
  <w:style w:type="paragraph" w:customStyle="1" w:styleId="RefToc5">
    <w:name w:val="RefToc5"/>
    <w:qFormat/>
    <w:pPr>
      <w:spacing w:before="0" w:after="0" w:line="240" w:lineRule="auto"/>
      <w:ind w:left="0" w:right="0" w:firstLine="0"/>
      <w:jc w:val="both"/>
    </w:pPr>
    <w:rPr>
      <w:rFonts w:ascii="Arial" w:eastAsia="Arial" w:hAnsi="Arial" w:cs="Arial"/>
      <w:color w:val="FFFFFF"/>
      <w:sz w:val="2"/>
    </w:rPr>
  </w:style>
  <w:style w:type="paragraph" w:customStyle="1" w:styleId="RefToc6">
    <w:name w:val="RefToc6"/>
    <w:qFormat/>
    <w:pPr>
      <w:spacing w:before="0" w:after="0" w:line="240" w:lineRule="auto"/>
      <w:ind w:left="0" w:right="0" w:firstLine="0"/>
      <w:jc w:val="both"/>
    </w:pPr>
    <w:rPr>
      <w:rFonts w:ascii="Arial" w:eastAsia="Arial" w:hAnsi="Arial" w:cs="Arial"/>
      <w:color w:val="FFFFFF"/>
      <w:sz w:val="2"/>
    </w:rPr>
  </w:style>
  <w:style w:type="paragraph" w:customStyle="1" w:styleId="RefToc7">
    <w:name w:val="RefToc7"/>
    <w:qFormat/>
    <w:pPr>
      <w:spacing w:before="0" w:after="0" w:line="240" w:lineRule="auto"/>
      <w:ind w:left="0" w:right="0" w:firstLine="0"/>
      <w:jc w:val="both"/>
    </w:pPr>
    <w:rPr>
      <w:rFonts w:ascii="Arial" w:eastAsia="Arial" w:hAnsi="Arial" w:cs="Arial"/>
      <w:color w:val="FFFFFF"/>
      <w:sz w:val="2"/>
    </w:rPr>
  </w:style>
  <w:style w:type="paragraph" w:customStyle="1" w:styleId="RefToc8">
    <w:name w:val="RefToc8"/>
    <w:qFormat/>
    <w:pPr>
      <w:spacing w:before="0" w:after="0" w:line="240" w:lineRule="auto"/>
      <w:ind w:left="0" w:right="0" w:firstLine="0"/>
      <w:jc w:val="both"/>
    </w:pPr>
    <w:rPr>
      <w:rFonts w:ascii="Arial" w:eastAsia="Arial" w:hAnsi="Arial" w:cs="Arial"/>
      <w:color w:val="FFFFFF"/>
      <w:sz w:val="2"/>
    </w:rPr>
  </w:style>
  <w:style w:type="paragraph" w:customStyle="1" w:styleId="RefToc9">
    <w:name w:val="RefToc9"/>
    <w:qFormat/>
    <w:pPr>
      <w:spacing w:before="0" w:after="0" w:line="240" w:lineRule="auto"/>
      <w:ind w:left="0" w:right="0" w:firstLine="0"/>
      <w:jc w:val="both"/>
    </w:pPr>
    <w:rPr>
      <w:rFonts w:ascii="Arial" w:eastAsia="Arial" w:hAnsi="Arial" w:cs="Arial"/>
      <w:color w:val="FFFFFF"/>
      <w:sz w:val="2"/>
    </w:rPr>
  </w:style>
  <w:style w:type="paragraph" w:customStyle="1" w:styleId="NoRefToc">
    <w:name w:val="NoRefToc"/>
    <w:qFormat/>
    <w:pPr>
      <w:spacing w:before="0" w:after="0" w:line="240" w:lineRule="auto"/>
      <w:ind w:left="0" w:right="0" w:firstLine="0"/>
      <w:jc w:val="both"/>
    </w:pPr>
    <w:rPr>
      <w:rFonts w:ascii="Arial" w:eastAsia="Arial" w:hAnsi="Arial" w:cs="Arial"/>
      <w:color w:val="FFFFFF"/>
      <w:sz w:val="2"/>
    </w:rPr>
  </w:style>
  <w:style w:type="paragraph" w:customStyle="1" w:styleId="ContributionStart">
    <w:name w:val="ContributionStart"/>
    <w:qFormat/>
    <w:pPr>
      <w:spacing w:before="0" w:after="60" w:line="240" w:lineRule="auto"/>
      <w:ind w:left="0" w:right="0" w:firstLine="0"/>
      <w:jc w:val="both"/>
    </w:pPr>
    <w:rPr>
      <w:rFonts w:ascii="Arial" w:eastAsia="Arial" w:hAnsi="Arial" w:cs="Arial"/>
      <w:color w:val="232323"/>
      <w:sz w:val="12"/>
    </w:rPr>
  </w:style>
  <w:style w:type="paragraph" w:customStyle="1" w:styleId="ContributionEnd">
    <w:name w:val="ContributionEnd"/>
    <w:qFormat/>
    <w:pPr>
      <w:spacing w:before="0" w:after="20" w:line="240" w:lineRule="auto"/>
      <w:ind w:left="0" w:right="0" w:firstLine="0"/>
      <w:jc w:val="both"/>
    </w:pPr>
    <w:rPr>
      <w:rFonts w:ascii="Arial" w:eastAsia="Arial" w:hAnsi="Arial" w:cs="Arial"/>
      <w:color w:val="232323"/>
      <w:sz w:val="2"/>
    </w:rPr>
  </w:style>
  <w:style w:type="paragraph" w:customStyle="1" w:styleId="CoverDate">
    <w:name w:val="CoverDat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ReportType">
    <w:name w:val="CoverReportTyp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SubTitle">
    <w:name w:val="CoverSubTitle"/>
    <w:basedOn w:val="SimpleStyle"/>
    <w:qFormat/>
    <w:pPr>
      <w:spacing w:before="0" w:after="0" w:line="240" w:lineRule="auto"/>
      <w:ind w:left="0" w:right="0" w:firstLine="0"/>
      <w:jc w:val="both"/>
    </w:pPr>
    <w:rPr>
      <w:rFonts w:ascii="Calibri" w:eastAsia="Calibri" w:hAnsi="Calibri" w:cs="Calibri"/>
      <w:b/>
      <w:color w:val="009EE0"/>
      <w:sz w:val="32"/>
    </w:rPr>
  </w:style>
  <w:style w:type="paragraph" w:customStyle="1" w:styleId="CoverTitle">
    <w:name w:val="CoverTitle"/>
    <w:basedOn w:val="SimpleStyle"/>
    <w:qFormat/>
    <w:pPr>
      <w:spacing w:before="0" w:after="0" w:line="240" w:lineRule="auto"/>
      <w:ind w:left="0" w:right="0" w:firstLine="0"/>
      <w:jc w:val="left"/>
    </w:pPr>
    <w:rPr>
      <w:rFonts w:ascii="Calibri" w:eastAsia="Calibri" w:hAnsi="Calibri" w:cs="Calibri"/>
      <w:b/>
      <w:color w:val="0C1C49"/>
      <w:sz w:val="56"/>
    </w:rPr>
  </w:style>
  <w:style w:type="paragraph" w:customStyle="1" w:styleId="TableNote">
    <w:name w:val="TableNote"/>
    <w:basedOn w:val="SimpleStyle"/>
    <w:qFormat/>
    <w:pPr>
      <w:spacing w:before="0" w:after="0" w:line="240" w:lineRule="auto"/>
      <w:ind w:left="0" w:right="0" w:firstLine="0"/>
      <w:jc w:val="both"/>
    </w:pPr>
    <w:rPr>
      <w:rFonts w:ascii="Arial" w:eastAsia="Arial" w:hAnsi="Arial" w:cs="Arial"/>
      <w:b w:val="0"/>
      <w:color w:val="000000"/>
      <w:sz w:val="16"/>
    </w:rPr>
  </w:style>
  <w:style w:type="paragraph" w:customStyle="1" w:styleId="HeaderTitle">
    <w:name w:val="HeaderTitle"/>
    <w:basedOn w:val="SimpleStyle"/>
    <w:qFormat/>
    <w:pPr>
      <w:spacing w:before="0" w:after="0" w:line="480" w:lineRule="exact"/>
      <w:ind w:left="-180" w:right="-580" w:firstLine="0"/>
      <w:jc w:val="left"/>
    </w:pPr>
    <w:rPr>
      <w:rFonts w:ascii="Arial" w:eastAsia="Arial" w:hAnsi="Arial" w:cs="Arial"/>
      <w:b/>
      <w:color w:val="009EE0"/>
      <w:sz w:val="44"/>
    </w:rPr>
  </w:style>
  <w:style w:type="paragraph" w:customStyle="1" w:styleId="HeaderTitle2">
    <w:name w:val="HeaderTitle2"/>
    <w:basedOn w:val="SimpleStyle"/>
    <w:qFormat/>
    <w:pPr>
      <w:spacing w:before="0" w:after="0" w:line="480" w:lineRule="exact"/>
      <w:ind w:left="-180" w:right="-580" w:firstLine="0"/>
      <w:jc w:val="left"/>
    </w:pPr>
    <w:rPr>
      <w:rFonts w:ascii="Arial" w:eastAsia="Arial" w:hAnsi="Arial" w:cs="Arial"/>
      <w:b w:val="0"/>
      <w:color w:val="009EE0"/>
      <w:sz w:val="44"/>
    </w:rPr>
  </w:style>
  <w:style w:type="paragraph" w:customStyle="1" w:styleId="Bookmark">
    <w:name w:val="Bookmark"/>
    <w:basedOn w:val="SimpleStyle"/>
    <w:qFormat/>
    <w:pPr>
      <w:spacing w:before="0" w:after="0" w:line="240" w:lineRule="auto"/>
      <w:ind w:left="0" w:right="0" w:firstLine="0"/>
      <w:jc w:val="both"/>
    </w:pPr>
    <w:rPr>
      <w:rFonts w:ascii="Arial" w:eastAsia="Arial" w:hAnsi="Arial" w:cs="Arial"/>
      <w:color w:val="232323"/>
      <w:sz w:val="0"/>
    </w:rPr>
  </w:style>
  <w:style w:type="paragraph" w:customStyle="1" w:styleId="H1SPACEBEFORE">
    <w:name w:val="H1_SPACE_BEFORE"/>
    <w:basedOn w:val="SimpleStyl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1">
    <w:name w:val="H1"/>
    <w:basedOn w:val="SimpleStyle"/>
    <w:qFormat/>
    <w:pPr>
      <w:spacing w:before="240" w:after="160" w:line="240" w:lineRule="auto"/>
      <w:ind w:left="0" w:right="0" w:firstLine="0"/>
      <w:jc w:val="both"/>
    </w:pPr>
    <w:rPr>
      <w:rFonts w:ascii="Arial" w:eastAsia="Arial" w:hAnsi="Arial" w:cs="Arial"/>
      <w:b/>
      <w:color w:val="232323"/>
      <w:sz w:val="36"/>
    </w:rPr>
  </w:style>
  <w:style w:type="paragraph" w:customStyle="1" w:styleId="H2">
    <w:name w:val="H2"/>
    <w:basedOn w:val="SimpleStyle"/>
    <w:qFormat/>
    <w:pPr>
      <w:spacing w:before="0" w:after="160" w:line="240" w:lineRule="auto"/>
      <w:ind w:left="0" w:right="0" w:firstLine="0"/>
      <w:jc w:val="both"/>
    </w:pPr>
    <w:rPr>
      <w:rFonts w:ascii="Arial" w:eastAsia="Arial" w:hAnsi="Arial" w:cs="Arial"/>
      <w:b/>
      <w:color w:val="232323"/>
      <w:sz w:val="24"/>
    </w:rPr>
  </w:style>
  <w:style w:type="paragraph" w:customStyle="1" w:styleId="H3">
    <w:name w:val="H3"/>
    <w:basedOn w:val="SimpleStyle"/>
    <w:qFormat/>
    <w:pPr>
      <w:spacing w:before="160" w:after="160" w:line="240" w:lineRule="auto"/>
      <w:ind w:left="0" w:right="0" w:firstLine="0"/>
      <w:jc w:val="both"/>
    </w:pPr>
    <w:rPr>
      <w:rFonts w:ascii="Arial" w:eastAsia="Arial" w:hAnsi="Arial" w:cs="Arial"/>
      <w:b/>
      <w:color w:val="232323"/>
      <w:sz w:val="20"/>
    </w:rPr>
  </w:style>
  <w:style w:type="paragraph" w:customStyle="1" w:styleId="H4">
    <w:name w:val="H4"/>
    <w:basedOn w:val="SimpleStyle"/>
    <w:qFormat/>
    <w:pPr>
      <w:spacing w:before="0" w:after="160" w:line="240" w:lineRule="auto"/>
      <w:ind w:left="0" w:right="0" w:firstLine="0"/>
      <w:jc w:val="both"/>
    </w:pPr>
    <w:rPr>
      <w:rFonts w:ascii="Arial" w:eastAsia="Arial" w:hAnsi="Arial" w:cs="Arial"/>
      <w:b/>
      <w:color w:val="232323"/>
      <w:sz w:val="20"/>
      <w:u w:val="none"/>
    </w:rPr>
  </w:style>
  <w:style w:type="paragraph" w:customStyle="1" w:styleId="H5">
    <w:name w:val="H5"/>
    <w:basedOn w:val="SimpleStyle"/>
    <w:qFormat/>
    <w:pPr>
      <w:spacing w:before="0" w:after="160" w:line="240" w:lineRule="auto"/>
      <w:ind w:left="0" w:right="0" w:firstLine="0"/>
      <w:jc w:val="both"/>
    </w:pPr>
    <w:rPr>
      <w:rFonts w:ascii="Arial" w:eastAsia="Arial" w:hAnsi="Arial" w:cs="Arial"/>
      <w:b/>
      <w:color w:val="232323"/>
      <w:sz w:val="32"/>
    </w:rPr>
  </w:style>
  <w:style w:type="paragraph" w:customStyle="1" w:styleId="H6">
    <w:name w:val="H6"/>
    <w:basedOn w:val="SimpleStyle"/>
    <w:qFormat/>
    <w:pPr>
      <w:spacing w:before="0" w:after="160" w:line="240" w:lineRule="auto"/>
      <w:ind w:left="0" w:right="0" w:firstLine="0"/>
      <w:jc w:val="both"/>
    </w:pPr>
    <w:rPr>
      <w:rFonts w:ascii="Arial" w:eastAsia="Arial" w:hAnsi="Arial" w:cs="Arial"/>
      <w:b/>
      <w:i/>
      <w:color w:val="232323"/>
      <w:sz w:val="20"/>
    </w:rPr>
  </w:style>
  <w:style w:type="paragraph" w:customStyle="1" w:styleId="H7">
    <w:name w:val="H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1">
    <w:name w:val="L1"/>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2">
    <w:name w:val="L2"/>
    <w:basedOn w:val="SimpleStyle"/>
    <w:qFormat/>
    <w:pPr>
      <w:spacing w:before="200" w:after="0" w:line="240" w:lineRule="auto"/>
      <w:ind w:left="0" w:right="0" w:firstLine="0"/>
      <w:jc w:val="both"/>
    </w:pPr>
    <w:rPr>
      <w:rFonts w:ascii="Arial" w:eastAsia="Arial" w:hAnsi="Arial" w:cs="Arial"/>
      <w:b/>
      <w:i/>
      <w:color w:val="232323"/>
      <w:sz w:val="20"/>
    </w:rPr>
  </w:style>
  <w:style w:type="paragraph" w:customStyle="1" w:styleId="L3">
    <w:name w:val="L3"/>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4">
    <w:name w:val="L4"/>
    <w:basedOn w:val="SimpleStyle"/>
    <w:qFormat/>
    <w:pPr>
      <w:spacing w:before="200" w:after="0" w:line="240" w:lineRule="auto"/>
      <w:ind w:left="0" w:right="0" w:firstLine="0"/>
      <w:jc w:val="both"/>
    </w:pPr>
    <w:rPr>
      <w:rFonts w:ascii="Arial" w:eastAsia="Arial" w:hAnsi="Arial" w:cs="Arial"/>
      <w:b/>
      <w:i/>
      <w:color w:val="232323"/>
      <w:sz w:val="18"/>
    </w:rPr>
  </w:style>
  <w:style w:type="paragraph" w:customStyle="1" w:styleId="L5">
    <w:name w:val="L5"/>
    <w:basedOn w:val="SimpleStyle"/>
    <w:qFormat/>
    <w:pPr>
      <w:spacing w:before="0" w:after="160" w:line="240" w:lineRule="auto"/>
      <w:ind w:left="0" w:right="0" w:firstLine="0"/>
      <w:jc w:val="both"/>
    </w:pPr>
    <w:rPr>
      <w:rFonts w:ascii="Arial" w:eastAsia="Arial" w:hAnsi="Arial" w:cs="Arial"/>
      <w:b/>
      <w:color w:val="232323"/>
      <w:sz w:val="20"/>
    </w:rPr>
  </w:style>
  <w:style w:type="paragraph" w:customStyle="1" w:styleId="L6">
    <w:name w:val="L6"/>
    <w:basedOn w:val="SimpleStyle"/>
    <w:qFormat/>
    <w:pPr>
      <w:spacing w:before="0" w:after="0" w:line="240" w:lineRule="auto"/>
      <w:ind w:left="0" w:right="0" w:firstLine="0"/>
      <w:jc w:val="both"/>
    </w:pPr>
    <w:rPr>
      <w:rFonts w:ascii="Arial" w:eastAsia="Arial" w:hAnsi="Arial" w:cs="Arial"/>
      <w:b/>
      <w:color w:val="232323"/>
      <w:sz w:val="32"/>
    </w:rPr>
  </w:style>
  <w:style w:type="paragraph" w:customStyle="1" w:styleId="L7">
    <w:name w:val="L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8">
    <w:name w:val="L8"/>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L9">
    <w:name w:val="L9"/>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H8">
    <w:name w:val="H8"/>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H9">
    <w:name w:val="H9"/>
    <w:basedOn w:val="SimpleStyle"/>
    <w:qFormat/>
    <w:pPr>
      <w:spacing w:before="0" w:after="0" w:line="240" w:lineRule="auto"/>
      <w:ind w:left="0" w:right="0" w:firstLine="0"/>
      <w:jc w:val="both"/>
    </w:pPr>
    <w:rPr>
      <w:rFonts w:ascii="Arial" w:eastAsia="Arial" w:hAnsi="Arial" w:cs="Arial"/>
      <w:color w:val="232323"/>
      <w:sz w:val="18"/>
    </w:rPr>
  </w:style>
  <w:style w:type="paragraph" w:customStyle="1" w:styleId="SimpleStyleTableau">
    <w:name w:val="SimpleStyleTableau"/>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DefaultEmptyStyle">
    <w:name w:val="DefaultEmptyStyle"/>
    <w:basedOn w:val="SimpleStyle"/>
    <w:qFormat/>
    <w:pPr>
      <w:spacing w:before="0" w:after="0" w:line="240" w:lineRule="auto"/>
      <w:ind w:left="0" w:right="0" w:firstLine="0"/>
      <w:jc w:val="both"/>
    </w:pPr>
    <w:rPr>
      <w:rFonts w:ascii="Arial" w:eastAsia="Arial" w:hAnsi="Arial" w:cs="Arial"/>
      <w:color w:val="FFFFFF"/>
      <w:sz w:val="0"/>
    </w:rPr>
  </w:style>
  <w:style w:type="paragraph" w:customStyle="1" w:styleId="BreakLine">
    <w:name w:val="BreakLine"/>
    <w:basedOn w:val="SimpleStyle"/>
    <w:qFormat/>
    <w:pPr>
      <w:spacing w:before="60" w:after="0" w:line="240" w:lineRule="auto"/>
      <w:ind w:left="0" w:right="0" w:firstLine="0"/>
      <w:jc w:val="both"/>
    </w:pPr>
    <w:rPr>
      <w:rFonts w:ascii="Arial" w:eastAsia="Arial" w:hAnsi="Arial" w:cs="Arial"/>
      <w:b w:val="0"/>
      <w:color w:val="232323"/>
      <w:sz w:val="18"/>
    </w:rPr>
  </w:style>
  <w:style w:type="paragraph" w:customStyle="1" w:styleId="FooterTitle">
    <w:name w:val="FooterTitle"/>
    <w:basedOn w:val="SimpleStyle"/>
    <w:qFormat/>
    <w:pPr>
      <w:spacing w:before="0" w:after="0" w:line="240" w:lineRule="auto"/>
      <w:ind w:left="0" w:right="0" w:firstLine="0"/>
      <w:jc w:val="left"/>
    </w:pPr>
    <w:rPr>
      <w:rFonts w:ascii="Arial" w:eastAsia="Arial" w:hAnsi="Arial" w:cs="Arial"/>
      <w:color w:val="808080"/>
      <w:sz w:val="16"/>
    </w:rPr>
  </w:style>
  <w:style w:type="paragraph" w:customStyle="1" w:styleId="SimpleStyleTop">
    <w:name w:val="SimpleStyleTop"/>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Contribution">
    <w:name w:val="Contribution"/>
    <w:basedOn w:val="SimpleStyle"/>
    <w:qFormat/>
    <w:pPr>
      <w:spacing w:before="0" w:after="0" w:line="240" w:lineRule="auto"/>
      <w:ind w:left="0" w:right="0" w:firstLine="0"/>
      <w:jc w:val="both"/>
    </w:pPr>
    <w:rPr>
      <w:rFonts w:ascii="Arial" w:eastAsia="Arial" w:hAnsi="Arial" w:cs="Arial"/>
      <w:color w:val="232323"/>
      <w:sz w:val="20"/>
    </w:rPr>
  </w:style>
  <w:style w:type="paragraph" w:customStyle="1" w:styleId="Text">
    <w:name w:val="Text"/>
    <w:basedOn w:val="SimpleStyle"/>
    <w:qFormat/>
    <w:pPr>
      <w:spacing w:before="0" w:after="0" w:line="240" w:lineRule="auto"/>
      <w:ind w:left="0" w:right="0" w:firstLine="0"/>
      <w:jc w:val="both"/>
    </w:pPr>
    <w:rPr>
      <w:rFonts w:ascii="Arial" w:eastAsia="Arial" w:hAnsi="Arial" w:cs="Arial"/>
      <w:b w:val="0"/>
      <w:color w:val="232323"/>
      <w:sz w:val="20"/>
    </w:rPr>
  </w:style>
  <w:style w:type="paragraph" w:customStyle="1" w:styleId="BottomPadding">
    <w:name w:val="BottomPadding"/>
    <w:basedOn w:val="SimpleStyle"/>
    <w:qFormat/>
    <w:pPr>
      <w:spacing w:before="0" w:after="0" w:line="240" w:lineRule="auto"/>
      <w:ind w:left="0" w:right="0" w:firstLine="0"/>
      <w:jc w:val="both"/>
    </w:pPr>
    <w:rPr>
      <w:rFonts w:ascii="Arial" w:eastAsia="Arial" w:hAnsi="Arial" w:cs="Arial"/>
      <w:color w:val="232323"/>
      <w:sz w:val="4"/>
    </w:rPr>
  </w:style>
  <w:style w:type="paragraph" w:customStyle="1" w:styleId="Footnote1">
    <w:name w:val="Footnote1"/>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2">
    <w:name w:val="Footnote2"/>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3">
    <w:name w:val="Footnote3"/>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4">
    <w:name w:val="Footnote4"/>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5">
    <w:name w:val="Footnote5"/>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6">
    <w:name w:val="Footnote6"/>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7">
    <w:name w:val="Footnote7"/>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8">
    <w:name w:val="Footnote8"/>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9">
    <w:name w:val="Footnote9"/>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H2SPACEBEFORE">
    <w:name w:val="H2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3SPACEBEFORE">
    <w:name w:val="H3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4SPACEBEFORE">
    <w:name w:val="H4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H5SPACEBEFORE">
    <w:name w:val="H5_SPACE_BEFORE"/>
    <w:basedOn w:val="H1SPACEBEFORE"/>
    <w:qFormat/>
    <w:pPr>
      <w:spacing w:before="0" w:after="0" w:line="240" w:lineRule="auto"/>
      <w:ind w:left="0" w:right="0" w:firstLine="0"/>
      <w:jc w:val="both"/>
    </w:pPr>
    <w:rPr>
      <w:rFonts w:ascii="Arial" w:eastAsia="Arial" w:hAnsi="Arial" w:cs="Arial"/>
      <w:color w:val="232323"/>
      <w:sz w:val="2"/>
      <w:shd w:val="clear" w:color="auto" w:fill="FFFFFF"/>
    </w:rPr>
  </w:style>
  <w:style w:type="paragraph" w:customStyle="1" w:styleId="EnteteTabFirstColBordureCentre">
    <w:name w:val="EnteteTab FirstCol Bordure Centre"/>
    <w:basedOn w:val="SimpleStyleTableau"/>
    <w:qFormat/>
    <w:pPr>
      <w:spacing w:before="0" w:after="0" w:line="240" w:lineRule="auto"/>
      <w:ind w:left="100" w:right="0" w:firstLine="0"/>
      <w:jc w:val="center"/>
    </w:pPr>
    <w:rPr>
      <w:rFonts w:ascii="Arial" w:eastAsia="Arial" w:hAnsi="Arial" w:cs="Arial"/>
      <w:b/>
      <w:color w:val="232323"/>
      <w:sz w:val="16"/>
    </w:rPr>
  </w:style>
  <w:style w:type="paragraph" w:customStyle="1" w:styleId="EnteteTabLastColBordure">
    <w:name w:val="EnteteTab Last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FirstColNonGras">
    <w:name w:val="Tab1 FirstCol NonGras"/>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
    <w:name w:val="Tab1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BordureDown">
    <w:name w:val="Tab1 FirstCol NonGras BordureDown"/>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BordureDown">
    <w:name w:val="Tab1 Last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EnteteTabMiddleColBordure">
    <w:name w:val="EnteteTab Middle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MiddleColNonGrasBordureDown">
    <w:name w:val="Tab1 Middle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MiddleColNonGrasBordureDownCentre">
    <w:name w:val="Tab1 MiddleCol NonGras  BordureDown Centre"/>
    <w:basedOn w:val="SimpleStyleTableau"/>
    <w:qFormat/>
    <w:pPr>
      <w:spacing w:before="0" w:after="0" w:line="240" w:lineRule="auto"/>
      <w:ind w:left="0" w:right="100" w:firstLine="0"/>
      <w:jc w:val="center"/>
    </w:pPr>
    <w:rPr>
      <w:rFonts w:ascii="Arial" w:eastAsia="Arial" w:hAnsi="Arial" w:cs="Arial"/>
      <w:color w:val="232323"/>
      <w:sz w:val="16"/>
    </w:rPr>
  </w:style>
  <w:style w:type="paragraph" w:customStyle="1" w:styleId="FooterIndex">
    <w:name w:val="FooterIndex"/>
    <w:basedOn w:val="FooterTitle"/>
    <w:qFormat/>
    <w:pPr>
      <w:spacing w:before="0" w:after="0" w:line="240" w:lineRule="auto"/>
      <w:ind w:left="0" w:right="0" w:firstLine="0"/>
      <w:jc w:val="right"/>
    </w:pPr>
    <w:rPr>
      <w:rFonts w:ascii="Arial" w:eastAsia="Arial" w:hAnsi="Arial" w:cs="Arial"/>
      <w:color w:val="000000"/>
      <w:sz w:val="16"/>
    </w:rPr>
  </w:style>
  <w:style w:type="paragraph" w:customStyle="1" w:styleId="Tab1MiddleColNonGras">
    <w:name w:val="Tab1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Top">
    <w:name w:val="Tab1 FirstCol Top"/>
    <w:basedOn w:val="SimpleStyleTop"/>
    <w:qFormat/>
    <w:pPr>
      <w:spacing w:before="0" w:after="0" w:line="240" w:lineRule="auto"/>
      <w:ind w:left="100" w:right="100" w:firstLine="0"/>
      <w:jc w:val="left"/>
    </w:pPr>
    <w:rPr>
      <w:rFonts w:ascii="Arial" w:eastAsia="Arial" w:hAnsi="Arial" w:cs="Arial"/>
      <w:color w:val="232323"/>
      <w:sz w:val="16"/>
    </w:rPr>
  </w:style>
  <w:style w:type="paragraph" w:customStyle="1" w:styleId="Tab1MiddleColNonGrasTop">
    <w:name w:val="Tab1 Middle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ab1LastColNonGrasTop">
    <w:name w:val="Tab1 Last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otalTabFirstColNoBordureUp">
    <w:name w:val="TotalTab FirstCol NoBordureUp"/>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NoBordureUp">
    <w:name w:val="TotalTab Middle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NoBordureUp">
    <w:name w:val="TotalTab Last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NoBordureUpNonGrasCentre">
    <w:name w:val="TotalTab MiddleCol NoBordureUp NonGras Centre"/>
    <w:basedOn w:val="SimpleStyleTableau"/>
    <w:qFormat/>
    <w:pPr>
      <w:spacing w:before="0" w:after="0" w:line="240" w:lineRule="auto"/>
      <w:ind w:left="0" w:right="100" w:firstLine="0"/>
      <w:jc w:val="center"/>
    </w:pPr>
    <w:rPr>
      <w:rFonts w:ascii="Arial" w:eastAsia="Arial" w:hAnsi="Arial" w:cs="Arial"/>
      <w:b w:val="0"/>
      <w:color w:val="232323"/>
      <w:sz w:val="16"/>
    </w:rPr>
  </w:style>
  <w:style w:type="paragraph" w:customStyle="1" w:styleId="TotalTabFirstColBordure">
    <w:name w:val="TotalTab FirstCol Bordure"/>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Bordure">
    <w:name w:val="TotalTab Middle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
    <w:name w:val="TotalTab Last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EnteteTabFirstColBordure">
    <w:name w:val="EnteteTab FirstCol Bordure"/>
    <w:basedOn w:val="SimpleStyleTableau"/>
    <w:qFormat/>
    <w:pPr>
      <w:spacing w:before="0" w:after="0" w:line="240" w:lineRule="auto"/>
      <w:ind w:left="100" w:right="20" w:firstLine="0"/>
      <w:jc w:val="left"/>
    </w:pPr>
    <w:rPr>
      <w:rFonts w:ascii="Arial" w:eastAsia="Arial" w:hAnsi="Arial" w:cs="Arial"/>
      <w:b/>
      <w:color w:val="232323"/>
      <w:sz w:val="16"/>
    </w:rPr>
  </w:style>
  <w:style w:type="paragraph" w:customStyle="1" w:styleId="Tab1FirstColGras">
    <w:name w:val="Tab1 FirstCol Gras"/>
    <w:basedOn w:val="SimpleStyleTableau"/>
    <w:qFormat/>
    <w:pPr>
      <w:spacing w:before="0" w:after="0" w:line="240" w:lineRule="auto"/>
      <w:ind w:left="100" w:right="100" w:firstLine="0"/>
      <w:jc w:val="both"/>
    </w:pPr>
    <w:rPr>
      <w:rFonts w:ascii="Arial" w:eastAsia="Arial" w:hAnsi="Arial" w:cs="Arial"/>
      <w:b/>
      <w:color w:val="000000"/>
      <w:sz w:val="16"/>
      <w:shd w:val="clear" w:color="auto" w:fill="FFFFFF"/>
    </w:rPr>
  </w:style>
  <w:style w:type="paragraph" w:customStyle="1" w:styleId="Tab1MiddleColGras">
    <w:name w:val="Tab1 MiddleCol Gras"/>
    <w:basedOn w:val="SimpleStyleTableau"/>
    <w:qFormat/>
    <w:pPr>
      <w:spacing w:before="0" w:after="0" w:line="240" w:lineRule="auto"/>
      <w:ind w:left="0" w:right="100" w:firstLine="0"/>
      <w:jc w:val="right"/>
    </w:pPr>
    <w:rPr>
      <w:rFonts w:ascii="Arial" w:eastAsia="Arial" w:hAnsi="Arial" w:cs="Arial"/>
      <w:b/>
      <w:color w:val="000000"/>
      <w:sz w:val="16"/>
    </w:rPr>
  </w:style>
  <w:style w:type="paragraph" w:customStyle="1" w:styleId="Tab1LastColGras">
    <w:name w:val="Tab1 LastCol Gras"/>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ab1MiddleColNonGrasCentre">
    <w:name w:val="Tab1 MiddleCol NonGras Centre"/>
    <w:basedOn w:val="SimpleStyleTableau"/>
    <w:qFormat/>
    <w:pPr>
      <w:spacing w:before="0" w:after="0" w:line="240" w:lineRule="auto"/>
      <w:ind w:left="0" w:right="0" w:firstLine="0"/>
      <w:jc w:val="center"/>
    </w:pPr>
    <w:rPr>
      <w:rFonts w:ascii="Arial" w:eastAsia="Arial" w:hAnsi="Arial" w:cs="Arial"/>
      <w:color w:val="232323"/>
      <w:sz w:val="16"/>
    </w:rPr>
  </w:style>
  <w:style w:type="paragraph" w:customStyle="1" w:styleId="Tab3FirstColNonGras">
    <w:name w:val="Tab3 FirstCol NonGras"/>
    <w:basedOn w:val="SimpleStyleTableau"/>
    <w:qFormat/>
    <w:pPr>
      <w:spacing w:before="0" w:after="0" w:line="240" w:lineRule="auto"/>
      <w:ind w:left="360" w:right="100" w:firstLine="0"/>
      <w:jc w:val="both"/>
    </w:pPr>
    <w:rPr>
      <w:rFonts w:ascii="Arial" w:eastAsia="Arial" w:hAnsi="Arial" w:cs="Arial"/>
      <w:color w:val="232323"/>
      <w:sz w:val="16"/>
    </w:rPr>
  </w:style>
  <w:style w:type="paragraph" w:customStyle="1" w:styleId="Tab3MiddleColNonGras">
    <w:name w:val="Tab3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3LastColNonGras">
    <w:name w:val="Tab3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Left">
    <w:name w:val="Tab1 FirstCol NonGras Left"/>
    <w:basedOn w:val="SimpleStyleTableau"/>
    <w:qFormat/>
    <w:pPr>
      <w:spacing w:before="0" w:after="0" w:line="240" w:lineRule="auto"/>
      <w:ind w:left="100" w:right="100" w:firstLine="0"/>
      <w:jc w:val="left"/>
    </w:pPr>
    <w:rPr>
      <w:rFonts w:ascii="Arial" w:eastAsia="Arial" w:hAnsi="Arial" w:cs="Arial"/>
      <w:color w:val="232323"/>
      <w:sz w:val="16"/>
    </w:rPr>
  </w:style>
  <w:style w:type="paragraph" w:customStyle="1" w:styleId="Text1">
    <w:name w:val="Text1"/>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2">
    <w:name w:val="Text2"/>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3">
    <w:name w:val="Text3"/>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4">
    <w:name w:val="Text4"/>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5">
    <w:name w:val="Text5"/>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6">
    <w:name w:val="Text6"/>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7">
    <w:name w:val="Text7"/>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8">
    <w:name w:val="Text8"/>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9">
    <w:name w:val="Text9"/>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EnteteTabNoBordureUpNoGras">
    <w:name w:val="EnteteTab NoBordureUp NoGras"/>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1FirstColNonGrasBordureUp">
    <w:name w:val="Tab1 FirstCol NonGras BordureUp"/>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2FirstColNonGras">
    <w:name w:val="Tab2 FirstCol NonGras"/>
    <w:basedOn w:val="SimpleStyleTableau"/>
    <w:qFormat/>
    <w:pPr>
      <w:spacing w:before="0" w:after="0" w:line="240" w:lineRule="auto"/>
      <w:ind w:left="200" w:right="100" w:firstLine="0"/>
      <w:jc w:val="both"/>
    </w:pPr>
    <w:rPr>
      <w:rFonts w:ascii="Arial" w:eastAsia="Arial" w:hAnsi="Arial" w:cs="Arial"/>
      <w:b w:val="0"/>
      <w:color w:val="232323"/>
      <w:sz w:val="16"/>
    </w:r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header" Target="header17.xml" /><Relationship Id="rId39" Type="http://schemas.openxmlformats.org/officeDocument/2006/relationships/footer" Target="footer17.xml" /><Relationship Id="rId4" Type="http://schemas.openxmlformats.org/officeDocument/2006/relationships/image" Target="media/image1.png"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18</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