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000"/>
        <w:gridCol w:w="600"/>
        <w:gridCol w:w="14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600" w:type="dxa"/>
            <w:gridSpan w:val="2"/>
            <w:tcBorders>
              <w:right w:val="none" w:sz="0" w:space="0" w:color="auto"/>
            </w:tcBorders>
            <w:tcMar>
              <w:top w:w="0" w:type="dxa"/>
              <w:left w:w="0" w:type="dxa"/>
              <w:bottom w:w="0" w:type="dxa"/>
              <w:right w:w="0" w:type="dxa"/>
            </w:tcMar>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140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exact" w:val="965"/>
        </w:trPr>
        <w:tc>
          <w:tcPr>
            <w:tcW w:w="1000" w:type="dxa"/>
            <w:tcMar>
              <w:top w:w="0" w:type="dxa"/>
              <w:left w:w="0" w:type="dxa"/>
              <w:bottom w:w="0" w:type="dxa"/>
              <w:right w:w="0" w:type="dxa"/>
            </w:tcMar>
          </w:tcPr>
          <w:p>
            <w:pPr>
              <w:rPr>
                <w:sz w:val="2"/>
              </w:rPr>
            </w:pPr>
          </w:p>
        </w:tc>
        <w:tc>
          <w:tcPr>
            <w:tcW w:w="600" w:type="dxa"/>
            <w:tcMar>
              <w:top w:w="0" w:type="dxa"/>
              <w:left w:w="0" w:type="dxa"/>
              <w:bottom w:w="0" w:type="dxa"/>
              <w:right w:w="0" w:type="dxa"/>
            </w:tcMar>
          </w:tcPr>
          <w:p>
            <w:pPr>
              <w:rPr>
                <w:sz w:val="2"/>
              </w:rPr>
            </w:pPr>
          </w:p>
        </w:tc>
        <w:tc>
          <w:tcPr>
            <w:tcW w:w="140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exact" w:val="1645"/>
        </w:trPr>
        <w:tc>
          <w:tcPr>
            <w:tcW w:w="1000" w:type="dxa"/>
            <w:tcMar>
              <w:top w:w="0" w:type="dxa"/>
              <w:left w:w="0" w:type="dxa"/>
              <w:bottom w:w="0" w:type="dxa"/>
              <w:right w:w="0" w:type="dxa"/>
            </w:tcMar>
          </w:tcPr>
          <w:p>
            <w:pPr>
              <w:rPr>
                <w:sz w:val="2"/>
              </w:rPr>
            </w:pPr>
          </w:p>
        </w:tc>
        <w:tc>
          <w:tcPr>
            <w:tcW w:w="2000" w:type="dxa"/>
            <w:gridSpan w:val="2"/>
            <w:tcBorders>
              <w:right w:val="none" w:sz="0" w:space="0" w:color="auto"/>
            </w:tcBorders>
            <w:tcMar>
              <w:top w:w="0" w:type="dxa"/>
              <w:left w:w="0" w:type="dxa"/>
              <w:bottom w:w="0" w:type="dxa"/>
              <w:right w:w="0" w:type="dxa"/>
            </w:tcMar>
          </w:tcPr>
          <w:p>
            <w:pPr>
              <w:pBdr>
                <w:top w:val="none" w:sz="0" w:space="0" w:color="auto"/>
              </w:pBdr>
              <w:rPr>
                <w:sz w:val="2"/>
              </w:rPr>
            </w:pPr>
            <w:r>
              <w:drawing>
                <wp:inline distT="0" distB="0" distL="0" distR="0">
                  <wp:extent cx="1270000" cy="105462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tblPrEx>
          <w:tblW w:w="0" w:type="auto"/>
          <w:tblInd w:w="0" w:type="dxa"/>
          <w:tblLayout w:type="fixed"/>
          <w:tblCellMar>
            <w:left w:w="108" w:type="dxa"/>
            <w:right w:w="108" w:type="dxa"/>
          </w:tblCellMar>
        </w:tblPrEx>
        <w:trPr>
          <w:trHeight w:hRule="exact" w:val="145"/>
        </w:trPr>
        <w:tc>
          <w:tcPr>
            <w:tcW w:w="1000" w:type="dxa"/>
            <w:tcMar>
              <w:top w:w="0" w:type="dxa"/>
              <w:left w:w="0" w:type="dxa"/>
              <w:bottom w:w="0" w:type="dxa"/>
              <w:right w:w="0" w:type="dxa"/>
            </w:tcMar>
          </w:tcPr>
          <w:p>
            <w:pPr>
              <w:rPr>
                <w:sz w:val="2"/>
              </w:rPr>
            </w:pPr>
          </w:p>
        </w:tc>
        <w:tc>
          <w:tcPr>
            <w:tcW w:w="600" w:type="dxa"/>
            <w:tcMar>
              <w:top w:w="0" w:type="dxa"/>
              <w:left w:w="0" w:type="dxa"/>
              <w:bottom w:w="0" w:type="dxa"/>
              <w:right w:w="0" w:type="dxa"/>
            </w:tcMar>
          </w:tcPr>
          <w:p>
            <w:pPr>
              <w:rPr>
                <w:sz w:val="2"/>
              </w:rPr>
            </w:pPr>
          </w:p>
        </w:tc>
        <w:tc>
          <w:tcPr>
            <w:tcW w:w="1400" w:type="dxa"/>
            <w:tcMar>
              <w:top w:w="0" w:type="dxa"/>
              <w:left w:w="0" w:type="dxa"/>
              <w:bottom w:w="0" w:type="dxa"/>
              <w:right w:w="0" w:type="dxa"/>
            </w:tcMar>
          </w:tcPr>
          <w:p>
            <w:pPr>
              <w:rPr>
                <w:sz w:val="2"/>
              </w:rPr>
            </w:pPr>
          </w:p>
        </w:tc>
      </w:tr>
    </w:tbl>
    <w:p>
      <w:pPr>
        <w:spacing w:line="240" w:lineRule="exact"/>
        <w:rPr>
          <w:sz w:val="24"/>
        </w:rPr>
      </w:pPr>
      <w:r>
        <w:t xml:space="preserve"> </w:t>
      </w:r>
    </w:p>
    <w:p>
      <w:pPr>
        <w:spacing w:line="240" w:lineRule="exact"/>
        <w:rPr>
          <w:sz w:val="24"/>
        </w:rPr>
      </w:pPr>
    </w:p>
    <w:p>
      <w:pPr>
        <w:spacing w:line="240" w:lineRule="exact"/>
        <w:rPr>
          <w:sz w:val="24"/>
        </w:rPr>
      </w:pPr>
    </w:p>
    <w:p>
      <w:pPr>
        <w:spacing w:after="565" w:line="240" w:lineRule="exact"/>
        <w:rPr>
          <w:sz w:val="24"/>
        </w:rPr>
      </w:pPr>
    </w:p>
    <w:p>
      <w:pPr>
        <w:pBdr>
          <w:top w:val="none" w:sz="0" w:space="0" w:color="auto"/>
          <w:bottom w:val="none" w:sz="0" w:space="0" w:color="auto"/>
        </w:pBdr>
        <w:bidi w:val="0"/>
        <w:spacing w:before="340" w:after="75"/>
        <w:ind w:left="1980" w:right="520"/>
        <w:jc w:val="both"/>
        <w:rPr>
          <w:rFonts w:ascii="Arial" w:eastAsia="Arial" w:hAnsi="Arial" w:cs="Arial"/>
          <w:b/>
          <w:i w:val="0"/>
          <w:strike w:val="0"/>
          <w:color w:val="003C46"/>
          <w:sz w:val="48"/>
          <w:u w:val="none"/>
          <w:vertAlign w:val="baseline"/>
          <w:lang w:val="fr-FR"/>
        </w:rPr>
      </w:pPr>
      <w:r>
        <w:rPr>
          <w:rFonts w:ascii="Arial" w:eastAsia="Arial" w:hAnsi="Arial" w:cs="Arial"/>
          <w:b/>
          <w:i w:val="0"/>
          <w:strike w:val="0"/>
          <w:color w:val="003C46"/>
          <w:sz w:val="48"/>
          <w:u w:val="none"/>
          <w:vertAlign w:val="baseline"/>
          <w:lang w:val="fr-FR"/>
        </w:rPr>
        <w:t>BFT CAPITAL PEA</w:t>
      </w:r>
    </w:p>
    <w:p>
      <w:pPr>
        <w:spacing w:line="240" w:lineRule="exact"/>
        <w:rPr>
          <w:sz w:val="24"/>
        </w:rPr>
      </w:pPr>
    </w:p>
    <w:p>
      <w:pPr>
        <w:spacing w:after="95" w:line="240" w:lineRule="exact"/>
        <w:rPr>
          <w:sz w:val="24"/>
        </w:rPr>
      </w:pPr>
    </w:p>
    <w:p>
      <w:pPr>
        <w:pBdr>
          <w:top w:val="none" w:sz="0" w:space="0" w:color="auto"/>
          <w:bottom w:val="none" w:sz="0" w:space="0" w:color="auto"/>
        </w:pBdr>
        <w:bidi w:val="0"/>
        <w:spacing w:before="80" w:after="95"/>
        <w:ind w:left="1980" w:right="1920"/>
        <w:jc w:val="left"/>
        <w:rPr>
          <w:rFonts w:ascii="Arial" w:eastAsia="Arial" w:hAnsi="Arial" w:cs="Arial"/>
          <w:b/>
          <w:i w:val="0"/>
          <w:strike w:val="0"/>
          <w:color w:val="003C46"/>
          <w:sz w:val="40"/>
          <w:u w:val="none"/>
          <w:vertAlign w:val="baseline"/>
          <w:lang w:val="fr-FR"/>
        </w:rPr>
      </w:pPr>
      <w:r>
        <w:rPr>
          <w:rFonts w:ascii="Arial" w:eastAsia="Arial" w:hAnsi="Arial" w:cs="Arial"/>
          <w:b/>
          <w:i w:val="0"/>
          <w:strike w:val="0"/>
          <w:color w:val="003C46"/>
          <w:sz w:val="40"/>
          <w:u w:val="none"/>
          <w:vertAlign w:val="baseline"/>
          <w:lang w:val="fr-FR"/>
        </w:rPr>
        <w:t>Informations semestrielles</w:t>
      </w:r>
    </w:p>
    <w:p>
      <w:pPr>
        <w:pBdr>
          <w:top w:val="none" w:sz="0" w:space="0" w:color="auto"/>
          <w:bottom w:val="none" w:sz="0" w:space="0" w:color="auto"/>
        </w:pBdr>
        <w:bidi w:val="0"/>
        <w:spacing w:before="80" w:after="15"/>
        <w:ind w:left="1980" w:right="1940"/>
        <w:jc w:val="left"/>
        <w:rPr>
          <w:rFonts w:ascii="Arial" w:eastAsia="Arial" w:hAnsi="Arial" w:cs="Arial"/>
          <w:b/>
          <w:i w:val="0"/>
          <w:strike w:val="0"/>
          <w:color w:val="003C46"/>
          <w:sz w:val="40"/>
          <w:u w:val="none"/>
          <w:vertAlign w:val="baseline"/>
          <w:lang w:val="fr-FR"/>
        </w:rPr>
      </w:pPr>
      <w:r>
        <w:rPr>
          <w:rFonts w:ascii="Arial" w:eastAsia="Arial" w:hAnsi="Arial" w:cs="Arial"/>
          <w:b/>
          <w:i w:val="0"/>
          <w:strike w:val="0"/>
          <w:color w:val="003C46"/>
          <w:sz w:val="40"/>
          <w:u w:val="none"/>
          <w:vertAlign w:val="baseline"/>
          <w:lang w:val="fr-FR"/>
        </w:rPr>
        <w:t>Août 2025</w:t>
      </w:r>
    </w:p>
    <w:p>
      <w:pPr>
        <w:spacing w:line="240" w:lineRule="exact"/>
        <w:rPr>
          <w:sz w:val="24"/>
        </w:rPr>
      </w:pPr>
    </w:p>
    <w:p>
      <w:pPr>
        <w:spacing w:line="240" w:lineRule="exact"/>
        <w:rPr>
          <w:sz w:val="24"/>
        </w:rPr>
      </w:pPr>
    </w:p>
    <w:p>
      <w:pPr>
        <w:spacing w:line="240" w:lineRule="exact"/>
        <w:rPr>
          <w:sz w:val="24"/>
        </w:rPr>
      </w:pPr>
    </w:p>
    <w:p>
      <w:pPr>
        <w:spacing w:after="310" w:line="240" w:lineRule="exact"/>
        <w:rPr>
          <w:sz w:val="24"/>
        </w:rPr>
      </w:pPr>
    </w:p>
    <w:p>
      <w:pPr>
        <w:pBdr>
          <w:top w:val="none" w:sz="0" w:space="0" w:color="auto"/>
          <w:bottom w:val="none" w:sz="0" w:space="0" w:color="auto"/>
        </w:pBdr>
        <w:bidi w:val="0"/>
        <w:spacing w:before="280" w:after="60"/>
        <w:ind w:left="1980" w:right="1380"/>
        <w:jc w:val="both"/>
        <w:rPr>
          <w:rFonts w:ascii="Arial" w:eastAsia="Arial" w:hAnsi="Arial" w:cs="Arial"/>
          <w:b/>
          <w:i w:val="0"/>
          <w:strike w:val="0"/>
          <w:color w:val="003C46"/>
          <w:sz w:val="26"/>
          <w:u w:val="none"/>
          <w:vertAlign w:val="baseline"/>
          <w:lang w:val="fr-FR"/>
        </w:rPr>
      </w:pPr>
      <w:r>
        <w:rPr>
          <w:rFonts w:ascii="Arial" w:eastAsia="Arial" w:hAnsi="Arial" w:cs="Arial"/>
          <w:b/>
          <w:i w:val="0"/>
          <w:strike w:val="0"/>
          <w:color w:val="003C46"/>
          <w:sz w:val="26"/>
          <w:u w:val="none"/>
          <w:vertAlign w:val="baseline"/>
          <w:lang w:val="fr-FR"/>
        </w:rPr>
        <w:t>OPCVM de BFT Investment Managers</w:t>
      </w:r>
    </w:p>
    <w:p>
      <w:pPr>
        <w:spacing w:after="80" w:line="240" w:lineRule="exact"/>
        <w:rPr>
          <w:sz w:val="24"/>
        </w:rPr>
      </w:pPr>
    </w:p>
    <w:p>
      <w:pPr>
        <w:pStyle w:val="CoverPropertyValue"/>
        <w:pBdr>
          <w:top w:val="none" w:sz="0" w:space="0" w:color="auto"/>
        </w:pBdr>
        <w:bidi w:val="0"/>
        <w:spacing w:before="20" w:after="20"/>
        <w:ind w:left="2000" w:right="300"/>
        <w:jc w:val="left"/>
        <w:rPr>
          <w:rFonts w:ascii="Arial" w:eastAsia="Arial" w:hAnsi="Arial" w:cs="Arial"/>
          <w:b w:val="0"/>
          <w:i w:val="0"/>
          <w:strike w:val="0"/>
          <w:color w:val="000000"/>
          <w:sz w:val="18"/>
          <w:u w:val="none"/>
          <w:vertAlign w:val="baseline"/>
          <w:lang w:val="fr-FR"/>
        </w:rPr>
      </w:pPr>
      <w:r>
        <w:rPr>
          <w:rFonts w:ascii="Arial" w:eastAsia="Arial" w:hAnsi="Arial" w:cs="Arial"/>
          <w:b/>
          <w:i w:val="0"/>
          <w:strike w:val="0"/>
          <w:color w:val="000000"/>
          <w:sz w:val="18"/>
          <w:u w:val="none"/>
          <w:vertAlign w:val="baseline"/>
          <w:lang w:val="fr-FR"/>
        </w:rPr>
        <w:t xml:space="preserve">Société de Gestion : </w:t>
      </w:r>
      <w:r>
        <w:rPr>
          <w:rFonts w:ascii="Arial" w:eastAsia="Arial" w:hAnsi="Arial" w:cs="Arial"/>
          <w:b/>
          <w:i w:val="0"/>
          <w:strike w:val="0"/>
          <w:color w:val="000000"/>
          <w:sz w:val="18"/>
          <w:u w:val="none"/>
          <w:vertAlign w:val="baseline"/>
          <w:lang w:val="fr-FR"/>
        </w:rPr>
        <w:fldChar w:fldCharType="begin"/>
      </w:r>
      <w:r>
        <w:rPr>
          <w:rFonts w:ascii="Arial" w:eastAsia="Arial" w:hAnsi="Arial" w:cs="Arial"/>
          <w:b/>
          <w:i w:val="0"/>
          <w:strike w:val="0"/>
          <w:color w:val="000000"/>
          <w:sz w:val="18"/>
          <w:u w:val="none"/>
          <w:vertAlign w:val="baseline"/>
          <w:lang w:val="fr-FR"/>
        </w:rPr>
        <w:instrText>0</w:instrText>
      </w:r>
      <w:r>
        <w:rPr>
          <w:rFonts w:ascii="Arial" w:eastAsia="Arial" w:hAnsi="Arial" w:cs="Arial"/>
          <w:b/>
          <w:i w:val="0"/>
          <w:strike w:val="0"/>
          <w:color w:val="000000"/>
          <w:sz w:val="18"/>
          <w:u w:val="none"/>
          <w:vertAlign w:val="baseline"/>
          <w:lang w:val="fr-FR"/>
        </w:rPr>
        <w:fldChar w:fldCharType="end"/>
      </w:r>
      <w:r>
        <w:rPr>
          <w:rFonts w:ascii="Arial" w:eastAsia="Arial" w:hAnsi="Arial" w:cs="Arial"/>
          <w:b w:val="0"/>
          <w:i w:val="0"/>
          <w:strike w:val="0"/>
          <w:color w:val="000000"/>
          <w:sz w:val="18"/>
          <w:u w:val="none"/>
          <w:vertAlign w:val="baseline"/>
          <w:lang w:val="fr-FR"/>
        </w:rPr>
        <w:t xml:space="preserve"> BFT Investment Managers</w:t>
      </w:r>
    </w:p>
    <w:p>
      <w:pPr>
        <w:pStyle w:val="CoverPropertyValue"/>
        <w:pBdr>
          <w:top w:val="none" w:sz="0" w:space="0" w:color="auto"/>
        </w:pBdr>
        <w:bidi w:val="0"/>
        <w:spacing w:before="20" w:after="20"/>
        <w:ind w:left="2000" w:right="300"/>
        <w:jc w:val="left"/>
        <w:rPr>
          <w:rFonts w:ascii="Arial" w:eastAsia="Arial" w:hAnsi="Arial" w:cs="Arial"/>
          <w:b w:val="0"/>
          <w:i w:val="0"/>
          <w:strike w:val="0"/>
          <w:color w:val="000000"/>
          <w:sz w:val="18"/>
          <w:u w:val="none"/>
          <w:vertAlign w:val="baseline"/>
          <w:lang w:val="fr-FR"/>
        </w:rPr>
      </w:pPr>
      <w:r>
        <w:rPr>
          <w:rFonts w:ascii="Arial" w:eastAsia="Arial" w:hAnsi="Arial" w:cs="Arial"/>
          <w:b/>
          <w:i w:val="0"/>
          <w:strike w:val="0"/>
          <w:color w:val="000000"/>
          <w:sz w:val="18"/>
          <w:u w:val="none"/>
          <w:vertAlign w:val="baseline"/>
          <w:lang w:val="fr-FR"/>
        </w:rPr>
        <w:t xml:space="preserve">Sous délégataire de gestion comptable en titre : </w:t>
      </w:r>
      <w:r>
        <w:rPr>
          <w:rFonts w:ascii="Arial" w:eastAsia="Arial" w:hAnsi="Arial" w:cs="Arial"/>
          <w:b/>
          <w:i w:val="0"/>
          <w:strike w:val="0"/>
          <w:color w:val="000000"/>
          <w:sz w:val="18"/>
          <w:u w:val="none"/>
          <w:vertAlign w:val="baseline"/>
          <w:lang w:val="fr-FR"/>
        </w:rPr>
        <w:fldChar w:fldCharType="begin"/>
      </w:r>
      <w:r>
        <w:rPr>
          <w:rFonts w:ascii="Arial" w:eastAsia="Arial" w:hAnsi="Arial" w:cs="Arial"/>
          <w:b/>
          <w:i w:val="0"/>
          <w:strike w:val="0"/>
          <w:color w:val="000000"/>
          <w:sz w:val="18"/>
          <w:u w:val="none"/>
          <w:vertAlign w:val="baseline"/>
          <w:lang w:val="fr-FR"/>
        </w:rPr>
        <w:instrText>0</w:instrText>
      </w:r>
      <w:r>
        <w:rPr>
          <w:rFonts w:ascii="Arial" w:eastAsia="Arial" w:hAnsi="Arial" w:cs="Arial"/>
          <w:b/>
          <w:i w:val="0"/>
          <w:strike w:val="0"/>
          <w:color w:val="000000"/>
          <w:sz w:val="18"/>
          <w:u w:val="none"/>
          <w:vertAlign w:val="baseline"/>
          <w:lang w:val="fr-FR"/>
        </w:rPr>
        <w:fldChar w:fldCharType="end"/>
      </w:r>
      <w:r>
        <w:rPr>
          <w:rFonts w:ascii="Arial" w:eastAsia="Arial" w:hAnsi="Arial" w:cs="Arial"/>
          <w:b w:val="0"/>
          <w:i w:val="0"/>
          <w:strike w:val="0"/>
          <w:color w:val="000000"/>
          <w:sz w:val="18"/>
          <w:u w:val="none"/>
          <w:vertAlign w:val="baseline"/>
          <w:lang w:val="fr-FR"/>
        </w:rPr>
        <w:t xml:space="preserve"> Caceis Fund Administration</w:t>
      </w:r>
    </w:p>
    <w:p>
      <w:pPr>
        <w:pStyle w:val="CoverPropertyValue"/>
        <w:pBdr>
          <w:top w:val="none" w:sz="0" w:space="0" w:color="auto"/>
        </w:pBdr>
        <w:bidi w:val="0"/>
        <w:spacing w:before="20" w:after="20"/>
        <w:ind w:left="2000" w:right="300"/>
        <w:jc w:val="left"/>
        <w:rPr>
          <w:rFonts w:ascii="Arial" w:eastAsia="Arial" w:hAnsi="Arial" w:cs="Arial"/>
          <w:b w:val="0"/>
          <w:i w:val="0"/>
          <w:strike w:val="0"/>
          <w:color w:val="000000"/>
          <w:sz w:val="18"/>
          <w:u w:val="none"/>
          <w:vertAlign w:val="baseline"/>
          <w:lang w:val="fr-FR"/>
        </w:rPr>
      </w:pPr>
      <w:r>
        <w:rPr>
          <w:rFonts w:ascii="Arial" w:eastAsia="Arial" w:hAnsi="Arial" w:cs="Arial"/>
          <w:b/>
          <w:i w:val="0"/>
          <w:strike w:val="0"/>
          <w:color w:val="000000"/>
          <w:sz w:val="18"/>
          <w:u w:val="none"/>
          <w:vertAlign w:val="baseline"/>
          <w:lang w:val="fr-FR"/>
        </w:rPr>
        <w:t xml:space="preserve">Dépositaire : </w:t>
      </w:r>
      <w:r>
        <w:rPr>
          <w:rFonts w:ascii="Arial" w:eastAsia="Arial" w:hAnsi="Arial" w:cs="Arial"/>
          <w:b/>
          <w:i w:val="0"/>
          <w:strike w:val="0"/>
          <w:color w:val="000000"/>
          <w:sz w:val="18"/>
          <w:u w:val="none"/>
          <w:vertAlign w:val="baseline"/>
          <w:lang w:val="fr-FR"/>
        </w:rPr>
        <w:fldChar w:fldCharType="begin"/>
      </w:r>
      <w:r>
        <w:rPr>
          <w:rFonts w:ascii="Arial" w:eastAsia="Arial" w:hAnsi="Arial" w:cs="Arial"/>
          <w:b/>
          <w:i w:val="0"/>
          <w:strike w:val="0"/>
          <w:color w:val="000000"/>
          <w:sz w:val="18"/>
          <w:u w:val="none"/>
          <w:vertAlign w:val="baseline"/>
          <w:lang w:val="fr-FR"/>
        </w:rPr>
        <w:instrText>0</w:instrText>
      </w:r>
      <w:r>
        <w:rPr>
          <w:rFonts w:ascii="Arial" w:eastAsia="Arial" w:hAnsi="Arial" w:cs="Arial"/>
          <w:b/>
          <w:i w:val="0"/>
          <w:strike w:val="0"/>
          <w:color w:val="000000"/>
          <w:sz w:val="18"/>
          <w:u w:val="none"/>
          <w:vertAlign w:val="baseline"/>
          <w:lang w:val="fr-FR"/>
        </w:rPr>
        <w:fldChar w:fldCharType="end"/>
      </w:r>
      <w:r>
        <w:rPr>
          <w:rFonts w:ascii="Arial" w:eastAsia="Arial" w:hAnsi="Arial" w:cs="Arial"/>
          <w:b w:val="0"/>
          <w:i w:val="0"/>
          <w:strike w:val="0"/>
          <w:color w:val="000000"/>
          <w:sz w:val="18"/>
          <w:u w:val="none"/>
          <w:vertAlign w:val="baseline"/>
          <w:lang w:val="fr-FR"/>
        </w:rPr>
        <w:t xml:space="preserve"> Caceis Bank</w:t>
      </w:r>
    </w:p>
    <w:p>
      <w:pPr>
        <w:pStyle w:val="CoverPropertyValue"/>
        <w:pBdr>
          <w:top w:val="none" w:sz="0" w:space="0" w:color="auto"/>
          <w:bottom w:val="none" w:sz="0" w:space="0" w:color="auto"/>
        </w:pBdr>
        <w:bidi w:val="0"/>
        <w:spacing w:before="20"/>
        <w:ind w:left="2000" w:right="300"/>
        <w:jc w:val="left"/>
        <w:rPr>
          <w:rFonts w:ascii="Arial" w:eastAsia="Arial" w:hAnsi="Arial" w:cs="Arial"/>
          <w:b w:val="0"/>
          <w:i w:val="0"/>
          <w:strike w:val="0"/>
          <w:color w:val="000000"/>
          <w:sz w:val="18"/>
          <w:u w:val="none"/>
          <w:vertAlign w:val="baseline"/>
          <w:lang w:val="fr-FR"/>
        </w:rPr>
      </w:pPr>
      <w:r>
        <w:rPr>
          <w:rFonts w:ascii="Arial" w:eastAsia="Arial" w:hAnsi="Arial" w:cs="Arial"/>
          <w:b/>
          <w:i w:val="0"/>
          <w:strike w:val="0"/>
          <w:color w:val="000000"/>
          <w:sz w:val="18"/>
          <w:u w:val="none"/>
          <w:vertAlign w:val="baseline"/>
          <w:lang w:val="fr-FR"/>
        </w:rPr>
        <w:t xml:space="preserve">Commissaire aux Comptes : </w:t>
      </w:r>
      <w:r>
        <w:rPr>
          <w:rFonts w:ascii="Arial" w:eastAsia="Arial" w:hAnsi="Arial" w:cs="Arial"/>
          <w:b/>
          <w:i w:val="0"/>
          <w:strike w:val="0"/>
          <w:color w:val="000000"/>
          <w:sz w:val="18"/>
          <w:u w:val="none"/>
          <w:vertAlign w:val="baseline"/>
          <w:lang w:val="fr-FR"/>
        </w:rPr>
        <w:fldChar w:fldCharType="begin"/>
      </w:r>
      <w:r>
        <w:rPr>
          <w:rFonts w:ascii="Arial" w:eastAsia="Arial" w:hAnsi="Arial" w:cs="Arial"/>
          <w:b/>
          <w:i w:val="0"/>
          <w:strike w:val="0"/>
          <w:color w:val="000000"/>
          <w:sz w:val="18"/>
          <w:u w:val="none"/>
          <w:vertAlign w:val="baseline"/>
          <w:lang w:val="fr-FR"/>
        </w:rPr>
        <w:instrText>0</w:instrText>
      </w:r>
      <w:r>
        <w:rPr>
          <w:rFonts w:ascii="Arial" w:eastAsia="Arial" w:hAnsi="Arial" w:cs="Arial"/>
          <w:b/>
          <w:i w:val="0"/>
          <w:strike w:val="0"/>
          <w:color w:val="000000"/>
          <w:sz w:val="18"/>
          <w:u w:val="none"/>
          <w:vertAlign w:val="baseline"/>
          <w:lang w:val="fr-FR"/>
        </w:rPr>
        <w:fldChar w:fldCharType="end"/>
      </w:r>
      <w:r>
        <w:rPr>
          <w:rFonts w:ascii="Arial" w:eastAsia="Arial" w:hAnsi="Arial" w:cs="Arial"/>
          <w:b w:val="0"/>
          <w:i w:val="0"/>
          <w:strike w:val="0"/>
          <w:color w:val="000000"/>
          <w:sz w:val="18"/>
          <w:u w:val="none"/>
          <w:vertAlign w:val="baseline"/>
          <w:lang w:val="fr-FR"/>
        </w:rPr>
        <w:t xml:space="preserve"> Pricewaterhousecoopers Audit</w:t>
      </w:r>
    </w:p>
    <w:p>
      <w:pPr>
        <w:spacing w:after="75" w:line="240" w:lineRule="exact"/>
        <w:rPr>
          <w:sz w:val="24"/>
        </w:rPr>
      </w:pPr>
    </w:p>
    <w:p>
      <w:pPr>
        <w:pBdr>
          <w:top w:val="none" w:sz="0" w:space="0" w:color="auto"/>
          <w:bottom w:val="none" w:sz="0" w:space="0" w:color="auto"/>
        </w:pBdr>
        <w:bidi w:val="0"/>
        <w:spacing w:before="0" w:line="207" w:lineRule="exact"/>
        <w:ind w:left="2000" w:right="1920"/>
        <w:jc w:val="both"/>
        <w:rPr>
          <w:rFonts w:ascii="Arial" w:eastAsia="Arial" w:hAnsi="Arial" w:cs="Arial"/>
          <w:b w:val="0"/>
          <w:i/>
          <w:strike w:val="0"/>
          <w:color w:val="232323"/>
          <w:sz w:val="18"/>
          <w:u w:val="none"/>
          <w:vertAlign w:val="baseline"/>
          <w:lang w:val="fr-FR"/>
        </w:rPr>
      </w:pPr>
      <w:r>
        <w:rPr>
          <w:rFonts w:ascii="Arial" w:eastAsia="Arial" w:hAnsi="Arial" w:cs="Arial"/>
          <w:b w:val="0"/>
          <w:i/>
          <w:strike w:val="0"/>
          <w:color w:val="232323"/>
          <w:sz w:val="18"/>
          <w:u w:val="none"/>
          <w:vertAlign w:val="baseline"/>
          <w:lang w:val="fr-FR"/>
        </w:rPr>
        <w:t>Le document périodique ne fait pas l’objet d’une certification par le Commissaire aux comptes de l’OPC.</w:t>
      </w: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after="195" w:line="240" w:lineRule="exact"/>
        <w:rPr>
          <w:sz w:val="24"/>
        </w:rPr>
      </w:pPr>
    </w:p>
    <w:p>
      <w:pPr>
        <w:pBdr>
          <w:top w:val="none" w:sz="0" w:space="0" w:color="auto"/>
        </w:pBdr>
        <w:bidi w:val="0"/>
        <w:spacing w:before="0"/>
        <w:ind w:left="0" w:right="10300"/>
        <w:jc w:val="both"/>
        <w:rPr>
          <w:rFonts w:ascii="Arial" w:eastAsia="Arial" w:hAnsi="Arial" w:cs="Arial"/>
          <w:b w:val="0"/>
          <w:i w:val="0"/>
          <w:strike w:val="0"/>
          <w:color w:val="232323"/>
          <w:sz w:val="18"/>
          <w:u w:val="none"/>
          <w:vertAlign w:val="baseline"/>
          <w:lang w:val="fr-FR"/>
        </w:rPr>
        <w:sectPr>
          <w:headerReference w:type="default" r:id="rId5"/>
          <w:footerReference w:type="default" r:id="rId6"/>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0237123B2EDA28443044B06DA704FDB0 "" </w:instrText>
      </w:r>
      <w:r>
        <w:rPr>
          <w:rFonts w:ascii="Arial" w:eastAsia="Arial" w:hAnsi="Arial" w:cs="Arial"/>
          <w:b w:val="0"/>
          <w:i w:val="0"/>
          <w:strike w:val="0"/>
          <w:color w:val="000000"/>
          <w:sz w:val="0"/>
          <w:u w:val="none"/>
          <w:vertAlign w:val="baseline"/>
          <w:lang w:val="fr-FR"/>
        </w:rPr>
        <w:fldChar w:fldCharType="separate"/>
      </w:r>
      <w:bookmarkStart w:id="2" w:name="0237123B2EDA28443044B06DA704FDB0"/>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8A1779BBA0BD64BE1FB216320945506D "" </w:instrText>
      </w:r>
      <w:r>
        <w:rPr>
          <w:rFonts w:ascii="Arial" w:eastAsia="Arial" w:hAnsi="Arial" w:cs="Arial"/>
          <w:b w:val="0"/>
          <w:i w:val="0"/>
          <w:strike w:val="0"/>
          <w:color w:val="000000"/>
          <w:sz w:val="0"/>
          <w:u w:val="none"/>
          <w:vertAlign w:val="baseline"/>
          <w:lang w:val="fr-FR"/>
        </w:rPr>
        <w:fldChar w:fldCharType="separate"/>
      </w:r>
      <w:bookmarkStart w:id="5" w:name="8A1779BBA0BD64BE1FB216320945506D"/>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53 241 190,57</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139 163,50</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3 933 210,94</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57 313 565,01</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-712 084,66</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56 601 480,35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2D286F34E6C538D0BD12C4980D4A66FE "" </w:instrText>
      </w:r>
      <w:r>
        <w:rPr>
          <w:rFonts w:ascii="Arial" w:eastAsia="Arial" w:hAnsi="Arial" w:cs="Arial"/>
          <w:b w:val="0"/>
          <w:i w:val="0"/>
          <w:strike w:val="0"/>
          <w:color w:val="000000"/>
          <w:sz w:val="0"/>
          <w:u w:val="none"/>
          <w:vertAlign w:val="baseline"/>
          <w:lang w:val="fr-FR"/>
        </w:rPr>
        <w:fldChar w:fldCharType="separate"/>
      </w:r>
      <w:bookmarkStart w:id="6" w:name="2D286F34E6C538D0BD12C4980D4A66FE"/>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67AC0524C205457B531C623D9CC03F07 "" </w:instrText>
      </w:r>
      <w:r>
        <w:rPr>
          <w:rFonts w:ascii="Arial" w:eastAsia="Arial" w:hAnsi="Arial" w:cs="Arial"/>
          <w:b w:val="0"/>
          <w:i w:val="0"/>
          <w:strike w:val="0"/>
          <w:color w:val="000000"/>
          <w:sz w:val="0"/>
          <w:u w:val="none"/>
          <w:vertAlign w:val="baseline"/>
          <w:lang w:val="fr-FR"/>
        </w:rPr>
        <w:fldChar w:fldCharType="separate"/>
      </w:r>
      <w:bookmarkStart w:id="9" w:name="67AC0524C205457B531C623D9CC03F07"/>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CAPITAL PEA I-C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19 289 299,77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1 803,8507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10 693,40</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CAPITAL PEA P-C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37 312 180,58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354 069,9151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105,38</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7"/>
          <w:footerReference w:type="default" r:id="rId8"/>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E36977886B0276B0862CB85EEE913464 "" </w:instrText>
      </w:r>
      <w:r>
        <w:rPr>
          <w:rFonts w:ascii="Arial" w:eastAsia="Arial" w:hAnsi="Arial" w:cs="Arial"/>
          <w:b w:val="0"/>
          <w:i w:val="0"/>
          <w:strike w:val="0"/>
          <w:color w:val="000000"/>
          <w:sz w:val="0"/>
          <w:u w:val="none"/>
          <w:vertAlign w:val="baseline"/>
          <w:lang w:val="fr-FR"/>
        </w:rPr>
        <w:fldChar w:fldCharType="separate"/>
      </w:r>
      <w:bookmarkStart w:id="10" w:name="E36977886B0276B0862CB85EEE913464"/>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0D14D451A9912EC2AE6E6539439D24D4 "" </w:instrText>
      </w:r>
      <w:r>
        <w:rPr>
          <w:rFonts w:ascii="Arial" w:eastAsia="Arial" w:hAnsi="Arial" w:cs="Arial"/>
          <w:b w:val="0"/>
          <w:i w:val="0"/>
          <w:strike w:val="0"/>
          <w:color w:val="000000"/>
          <w:sz w:val="0"/>
          <w:u w:val="none"/>
          <w:vertAlign w:val="baseline"/>
          <w:lang w:val="fr-FR"/>
        </w:rPr>
        <w:fldChar w:fldCharType="separate"/>
      </w:r>
      <w:bookmarkStart w:id="13" w:name="0D14D451A9912EC2AE6E6539439D24D4"/>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93,01</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91,85</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232323"/>
          <w:sz w:val="16"/>
          <w:u w:val="none"/>
          <w:vertAlign w:val="baseline"/>
          <w:lang w:val="fr-FR"/>
        </w:rPr>
        <w:sectPr>
          <w:headerReference w:type="default" r:id="rId9"/>
          <w:footerReference w:type="default" r:id="rId10"/>
          <w:pgSz w:w="11900" w:h="16840"/>
          <w:pgMar w:top="2154" w:right="1134" w:bottom="1134" w:left="1134" w:header="400" w:footer="400"/>
          <w:cols w:space="720"/>
        </w:sectPr>
      </w:pPr>
      <w:r>
        <w:rPr>
          <w:rFonts w:ascii="Arial" w:eastAsia="Arial" w:hAnsi="Arial" w:cs="Arial"/>
          <w:b w:val="0"/>
          <w:i w:val="0"/>
          <w:strike w:val="0"/>
          <w:color w:val="232323"/>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12C2DC4ADC13A6741B59E839ACB38CE5 "" </w:instrText>
      </w:r>
      <w:r>
        <w:rPr>
          <w:rFonts w:ascii="Arial" w:eastAsia="Arial" w:hAnsi="Arial" w:cs="Arial"/>
          <w:b w:val="0"/>
          <w:i w:val="0"/>
          <w:strike w:val="0"/>
          <w:color w:val="000000"/>
          <w:sz w:val="0"/>
          <w:u w:val="none"/>
          <w:vertAlign w:val="baseline"/>
          <w:lang w:val="fr-FR"/>
        </w:rPr>
        <w:fldChar w:fldCharType="separate"/>
      </w:r>
      <w:bookmarkStart w:id="14" w:name="12C2DC4ADC13A6741B59E839ACB38CE5"/>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A4844D7EE58DA0F963CA57DE7D0A039A "" </w:instrText>
      </w:r>
      <w:r>
        <w:rPr>
          <w:rFonts w:ascii="Arial" w:eastAsia="Arial" w:hAnsi="Arial" w:cs="Arial"/>
          <w:b w:val="0"/>
          <w:i w:val="0"/>
          <w:strike w:val="0"/>
          <w:color w:val="000000"/>
          <w:sz w:val="0"/>
          <w:u w:val="none"/>
          <w:vertAlign w:val="baseline"/>
          <w:lang w:val="fr-FR"/>
        </w:rPr>
        <w:fldChar w:fldCharType="separate"/>
      </w:r>
      <w:bookmarkStart w:id="17" w:name="A4844D7EE58DA0F963CA57DE7D0A039A"/>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53 241 190,57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94,06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92,89</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53 241 190,57</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94,06</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92,89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232323"/>
          <w:sz w:val="16"/>
          <w:u w:val="none"/>
          <w:vertAlign w:val="baseline"/>
          <w:lang w:val="fr-FR"/>
        </w:rPr>
        <w:sectPr>
          <w:headerReference w:type="default" r:id="rId11"/>
          <w:footerReference w:type="default" r:id="rId12"/>
          <w:pgSz w:w="11900" w:h="16840"/>
          <w:pgMar w:top="2154" w:right="1134" w:bottom="1134" w:left="1134" w:header="400" w:footer="400"/>
          <w:cols w:space="720"/>
        </w:sectPr>
      </w:pPr>
      <w:r>
        <w:rPr>
          <w:rFonts w:ascii="Arial" w:eastAsia="Arial" w:hAnsi="Arial" w:cs="Arial"/>
          <w:b w:val="0"/>
          <w:i w:val="0"/>
          <w:strike w:val="0"/>
          <w:color w:val="232323"/>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B7DE8F30219841F89419098D8034E39C "" </w:instrText>
      </w:r>
      <w:r>
        <w:rPr>
          <w:rFonts w:ascii="Arial" w:eastAsia="Arial" w:hAnsi="Arial" w:cs="Arial"/>
          <w:b w:val="0"/>
          <w:i w:val="0"/>
          <w:strike w:val="0"/>
          <w:color w:val="000000"/>
          <w:sz w:val="0"/>
          <w:u w:val="none"/>
          <w:vertAlign w:val="baseline"/>
          <w:lang w:val="fr-FR"/>
        </w:rPr>
        <w:fldChar w:fldCharType="separate"/>
      </w:r>
      <w:bookmarkStart w:id="18" w:name="B7DE8F30219841F89419098D8034E39C"/>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44B9FE09D4BFB61D0112854B9EAB4507 "" </w:instrText>
      </w:r>
      <w:r>
        <w:rPr>
          <w:rFonts w:ascii="Arial" w:eastAsia="Arial" w:hAnsi="Arial" w:cs="Arial"/>
          <w:b w:val="0"/>
          <w:i w:val="0"/>
          <w:strike w:val="0"/>
          <w:color w:val="000000"/>
          <w:sz w:val="0"/>
          <w:u w:val="none"/>
          <w:vertAlign w:val="baseline"/>
          <w:lang w:val="fr-FR"/>
        </w:rPr>
        <w:fldChar w:fldCharType="separate"/>
      </w:r>
      <w:bookmarkStart w:id="20" w:name="44B9FE09D4BFB61D0112854B9EAB4507"/>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48,51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47,90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8,30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PORTUGAL</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7,12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4,49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NORVEGE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94,06</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92,89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232323"/>
          <w:sz w:val="16"/>
          <w:u w:val="none"/>
          <w:vertAlign w:val="baseline"/>
          <w:lang w:val="fr-FR"/>
        </w:rPr>
        <w:sectPr>
          <w:headerReference w:type="default" r:id="rId13"/>
          <w:footerReference w:type="default" r:id="rId14"/>
          <w:pgSz w:w="11900" w:h="16840"/>
          <w:pgMar w:top="2154" w:right="1134" w:bottom="1134" w:left="1134" w:header="400" w:footer="400"/>
          <w:cols w:space="720"/>
        </w:sectPr>
      </w:pPr>
      <w:r>
        <w:rPr>
          <w:rFonts w:ascii="Arial" w:eastAsia="Arial" w:hAnsi="Arial" w:cs="Arial"/>
          <w:b w:val="0"/>
          <w:i w:val="0"/>
          <w:strike w:val="0"/>
          <w:color w:val="232323"/>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9EA3B72D72538DA88DF8AD9EE4E82755 "" </w:instrText>
      </w:r>
      <w:r>
        <w:rPr>
          <w:rFonts w:ascii="Arial" w:eastAsia="Arial" w:hAnsi="Arial" w:cs="Arial"/>
          <w:b w:val="0"/>
          <w:i w:val="0"/>
          <w:strike w:val="0"/>
          <w:color w:val="000000"/>
          <w:sz w:val="0"/>
          <w:u w:val="none"/>
          <w:vertAlign w:val="baseline"/>
          <w:lang w:val="fr-FR"/>
        </w:rPr>
        <w:fldChar w:fldCharType="separate"/>
      </w:r>
      <w:bookmarkStart w:id="21" w:name="9EA3B72D72538DA88DF8AD9EE4E82755"/>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CE9C57AB03F96C68BAB8F4C734312B90 "" </w:instrText>
      </w:r>
      <w:r>
        <w:rPr>
          <w:rFonts w:ascii="Arial" w:eastAsia="Arial" w:hAnsi="Arial" w:cs="Arial"/>
          <w:b w:val="0"/>
          <w:i w:val="0"/>
          <w:strike w:val="0"/>
          <w:color w:val="000000"/>
          <w:sz w:val="0"/>
          <w:u w:val="none"/>
          <w:vertAlign w:val="baseline"/>
          <w:lang w:val="fr-FR"/>
        </w:rPr>
        <w:fldChar w:fldCharType="separate"/>
      </w:r>
      <w:bookmarkStart w:id="24" w:name="CE9C57AB03F96C68BAB8F4C734312B90"/>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5,17</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5,11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232323"/>
          <w:sz w:val="16"/>
          <w:u w:val="none"/>
          <w:vertAlign w:val="baseline"/>
          <w:lang w:val="fr-FR"/>
        </w:rPr>
        <w:sectPr>
          <w:headerReference w:type="default" r:id="rId15"/>
          <w:footerReference w:type="default" r:id="rId16"/>
          <w:pgSz w:w="11900" w:h="16840"/>
          <w:pgMar w:top="2154" w:right="1134" w:bottom="1134" w:left="1134" w:header="400" w:footer="400"/>
          <w:cols w:space="720"/>
        </w:sectPr>
      </w:pPr>
      <w:r>
        <w:rPr>
          <w:rFonts w:ascii="Arial" w:eastAsia="Arial" w:hAnsi="Arial" w:cs="Arial"/>
          <w:b w:val="0"/>
          <w:i w:val="0"/>
          <w:strike w:val="0"/>
          <w:color w:val="232323"/>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1CFB553553A066DD10EBCD3013696D99 "" </w:instrText>
      </w:r>
      <w:r>
        <w:rPr>
          <w:rFonts w:ascii="Arial" w:eastAsia="Arial" w:hAnsi="Arial" w:cs="Arial"/>
          <w:b w:val="0"/>
          <w:i w:val="0"/>
          <w:strike w:val="0"/>
          <w:color w:val="000000"/>
          <w:sz w:val="0"/>
          <w:u w:val="none"/>
          <w:vertAlign w:val="baseline"/>
          <w:lang w:val="fr-FR"/>
        </w:rPr>
        <w:fldChar w:fldCharType="separate"/>
      </w:r>
      <w:bookmarkStart w:id="25" w:name="1CFB553553A066DD10EBCD3013696D99"/>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4029943CB4E08BA07841F02BD83095DA "" </w:instrText>
      </w:r>
      <w:r>
        <w:rPr>
          <w:rFonts w:ascii="Arial" w:eastAsia="Arial" w:hAnsi="Arial" w:cs="Arial"/>
          <w:b w:val="0"/>
          <w:i w:val="0"/>
          <w:strike w:val="0"/>
          <w:color w:val="000000"/>
          <w:sz w:val="0"/>
          <w:u w:val="none"/>
          <w:vertAlign w:val="baseline"/>
          <w:lang w:val="fr-FR"/>
        </w:rPr>
        <w:fldChar w:fldCharType="separate"/>
      </w:r>
      <w:bookmarkStart w:id="28" w:name="4029943CB4E08BA07841F02BD83095DA"/>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150 258 688,04</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145 814 262,68</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1 955 277,42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3 419 320,75</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16 532 779,99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17 628 066,25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7"/>
          <w:footerReference w:type="default" r:id="rId18"/>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5CEF26BF0E2FE8ED72C280DB6EEF7307 "" </w:instrText>
      </w:r>
      <w:r>
        <w:rPr>
          <w:rFonts w:ascii="Arial" w:eastAsia="Arial" w:hAnsi="Arial" w:cs="Arial"/>
          <w:b w:val="0"/>
          <w:i w:val="0"/>
          <w:strike w:val="0"/>
          <w:color w:val="000000"/>
          <w:sz w:val="0"/>
          <w:u w:val="none"/>
          <w:vertAlign w:val="baseline"/>
          <w:lang w:val="fr-FR"/>
        </w:rPr>
        <w:fldChar w:fldCharType="separate"/>
      </w:r>
      <w:bookmarkStart w:id="29" w:name="5CEF26BF0E2FE8ED72C280DB6EEF7307"/>
      <w:bookmarkEnd w:id="2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0" w:name="Information sur les commissions de surpe"/>
      <w:bookmarkEnd w:id="30"/>
      <w:r>
        <w:rPr>
          <w:rFonts w:ascii="Arial" w:eastAsia="Arial" w:hAnsi="Arial" w:cs="Arial"/>
          <w:b/>
          <w:i w:val="0"/>
          <w:strike w:val="0"/>
          <w:color w:val="232323"/>
          <w:sz w:val="36"/>
          <w:u w:val="none"/>
          <w:vertAlign w:val="baseline"/>
          <w:lang w:val="fr-FR"/>
        </w:rPr>
        <w:t>Information sur les commissions de surperformance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65A49C4FD06777633EB57C35274C1733"/>
      <w:bookmarkEnd w:id="31"/>
      <w:r>
        <w:rPr>
          <w:rFonts w:ascii="Arial" w:eastAsia="Arial" w:hAnsi="Arial" w:cs="Arial"/>
          <w:b w:val="0"/>
          <w:i w:val="0"/>
          <w:strike w:val="0"/>
          <w:color w:val="FFFFFF"/>
          <w:sz w:val="2"/>
          <w:u w:val="none"/>
          <w:vertAlign w:val="baseline"/>
          <w:lang w:val="fr-FR"/>
        </w:rPr>
        <w:t>Information sur les commissions de surperformance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CA0896667065CBFD7A80DAD5859E766D "" </w:instrText>
      </w:r>
      <w:r>
        <w:rPr>
          <w:rFonts w:ascii="Arial" w:eastAsia="Arial" w:hAnsi="Arial" w:cs="Arial"/>
          <w:b w:val="0"/>
          <w:i w:val="0"/>
          <w:strike w:val="0"/>
          <w:color w:val="000000"/>
          <w:sz w:val="0"/>
          <w:u w:val="none"/>
          <w:vertAlign w:val="baseline"/>
          <w:lang w:val="fr-FR"/>
        </w:rPr>
        <w:fldChar w:fldCharType="separate"/>
      </w:r>
      <w:bookmarkStart w:id="32" w:name="CA0896667065CBFD7A80DAD5859E766D"/>
      <w:bookmarkEnd w:id="3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4"/>
        <w:gridCol w:w="2153"/>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bottom w:val="single" w:sz="4" w:space="0" w:color="232323"/>
            </w:tcBorders>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29/08/2025</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CAPITAL PEA I-C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85"/>
        </w:trPr>
        <w:tc>
          <w:tcPr>
            <w:tcW w:w="75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Part BFT CAPITAL PEA 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Pourcentage de frais de 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xt"/>
        <w:pBdr>
          <w:top w:val="none" w:sz="0" w:space="0" w:color="auto"/>
        </w:pBdr>
        <w:bidi w:val="0"/>
        <w:spacing w:before="0" w:after="100" w:line="240" w:lineRule="auto"/>
        <w:ind w:left="0" w:right="0"/>
        <w:jc w:val="both"/>
        <w:rPr>
          <w:rFonts w:ascii="Arial" w:eastAsia="Arial" w:hAnsi="Arial" w:cs="Arial"/>
          <w:b w:val="0"/>
          <w:i w:val="0"/>
          <w:strike w:val="0"/>
          <w:color w:val="232323"/>
          <w:sz w:val="20"/>
          <w:u w:val="none"/>
          <w:vertAlign w:val="baseline"/>
          <w:lang w:val="fr-FR"/>
        </w:rPr>
      </w:pPr>
    </w:p>
    <w:p>
      <w:pPr>
        <w:pStyle w:val="TableNote"/>
        <w:pBdr>
          <w:top w:val="none" w:sz="0" w:space="0" w:color="auto"/>
          <w:bottom w:val="none" w:sz="0" w:space="0" w:color="auto"/>
        </w:pBdr>
        <w:bidi w:val="0"/>
        <w:spacing w:before="100" w:after="13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par rapport à l'actif net de l’arrêté comptable</w:t>
      </w:r>
    </w:p>
    <w:p>
      <w:pPr>
        <w:pStyle w:val="TableNote"/>
        <w:pBdr>
          <w:top w:val="none" w:sz="0" w:space="0" w:color="auto"/>
          <w:bottom w:val="none" w:sz="0" w:space="0" w:color="auto"/>
        </w:pBdr>
        <w:bidi w:val="0"/>
        <w:spacing w:before="100" w:after="15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par rapport à l'actif net moyen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9"/>
          <w:footerReference w:type="default" r:id="rId20"/>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6506687DDB62C673E884CDF3A183A059 "" </w:instrText>
      </w:r>
      <w:r>
        <w:rPr>
          <w:rFonts w:ascii="Arial" w:eastAsia="Arial" w:hAnsi="Arial" w:cs="Arial"/>
          <w:b w:val="0"/>
          <w:i w:val="0"/>
          <w:strike w:val="0"/>
          <w:color w:val="000000"/>
          <w:sz w:val="0"/>
          <w:u w:val="none"/>
          <w:vertAlign w:val="baseline"/>
          <w:lang w:val="fr-FR"/>
        </w:rPr>
        <w:fldChar w:fldCharType="separate"/>
      </w:r>
      <w:bookmarkStart w:id="33" w:name="6506687DDB62C673E884CDF3A183A059"/>
      <w:bookmarkEnd w:id="33"/>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4" w:name="&lt;font size=&quot;5&quot;&gt;Transparence des opératio"/>
      <w:bookmarkEnd w:id="34"/>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5" w:name="BK_47E35F0C3B607B01680CE9F078661A0E"/>
      <w:bookmarkEnd w:id="3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F475D756A27151DCEE12B6BA5F5470A5 "" </w:instrText>
      </w:r>
      <w:r>
        <w:rPr>
          <w:rFonts w:ascii="Arial" w:eastAsia="Arial" w:hAnsi="Arial" w:cs="Arial"/>
          <w:b w:val="0"/>
          <w:i w:val="0"/>
          <w:strike w:val="0"/>
          <w:color w:val="000000"/>
          <w:sz w:val="0"/>
          <w:u w:val="none"/>
          <w:vertAlign w:val="baseline"/>
          <w:lang w:val="fr-FR"/>
        </w:rPr>
        <w:fldChar w:fldCharType="separate"/>
      </w:r>
      <w:bookmarkStart w:id="36" w:name="F475D756A27151DCEE12B6BA5F5470A5"/>
      <w:bookmarkEnd w:id="3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a) Titres et matières premières prêtés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77"/>
        <w:gridCol w:w="20"/>
        <w:gridCol w:w="1359"/>
        <w:gridCol w:w="1359"/>
        <w:gridCol w:w="1379"/>
        <w:gridCol w:w="1359"/>
        <w:gridCol w:w="1379"/>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gridSpan w:val="2"/>
            <w:tcBorders>
              <w:bottom w:val="single" w:sz="4" w:space="0" w:color="232323"/>
              <w:right w:val="none" w:sz="0" w:space="0" w:color="auto"/>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de l'Actif Net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pStyle w:val="TableNote"/>
        <w:pBdr>
          <w:top w:val="none" w:sz="0" w:space="0" w:color="auto"/>
          <w:bottom w:val="none" w:sz="0" w:space="0" w:color="auto"/>
        </w:pBdr>
        <w:bidi w:val="0"/>
        <w:spacing w:before="100" w:after="240"/>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 hors trésorerie et équivalent de trésorerie</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b) Actifs engagés pour chaque type d’opérations de financement sur titres et TRS exprimés en valeur absolue</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46 999 940,00</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de l'Actif Net</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83,04</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c) 10 principaux émetteurs de garanties reçues (hors cash) pour tous les types d'opérations de financement</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67"/>
        <w:gridCol w:w="1375"/>
        <w:gridCol w:w="1355"/>
        <w:gridCol w:w="1375"/>
        <w:gridCol w:w="1355"/>
        <w:gridCol w:w="139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6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Color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165" w:lineRule="exact"/>
        <w:rPr>
          <w:sz w:val="17"/>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d) 10 principales contreparties en valeur absolue des actifs et des passifs sans compensation</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68"/>
        <w:gridCol w:w="1374"/>
        <w:gridCol w:w="1355"/>
        <w:gridCol w:w="1375"/>
        <w:gridCol w:w="1355"/>
        <w:gridCol w:w="139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pPr>
              <w:pStyle w:val="Tab1FirstColNonGrasBordureUp"/>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BANK OF AMERICA PARIS</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Middle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pPr>
              <w:pStyle w:val="Tab1LastColNonGrasBordureUp"/>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46 999 940,00</w:t>
            </w:r>
          </w:p>
        </w:tc>
      </w:tr>
      <w:tr>
        <w:tblPrEx>
          <w:tblW w:w="5000" w:type="pct"/>
          <w:tblInd w:w="0" w:type="dxa"/>
          <w:tblLayout w:type="fixed"/>
          <w:tblCellMar>
            <w:left w:w="108" w:type="dxa"/>
            <w:right w:w="108" w:type="dxa"/>
          </w:tblCellMar>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e) Type et qualité des garanties (collatéral)</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7"/>
        <w:gridCol w:w="1355"/>
        <w:gridCol w:w="1375"/>
        <w:gridCol w:w="1355"/>
        <w:gridCol w:w="1375"/>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pPr>
              <w:pStyle w:val="EnteteTabLast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Actions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Obligations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TCN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line="150" w:lineRule="exact"/>
        <w:rPr>
          <w:sz w:val="1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7"/>
        <w:gridCol w:w="1355"/>
        <w:gridCol w:w="1375"/>
        <w:gridCol w:w="1355"/>
        <w:gridCol w:w="1375"/>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6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Monnaie de la garantie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pPr>
              <w:pStyle w:val="EnteteTabMiddle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pPr>
              <w:pStyle w:val="EnteteTabLastColBordureNoContent"/>
              <w:pBdr>
                <w:top w:val="none" w:sz="0" w:space="0" w:color="auto"/>
              </w:pBdr>
              <w:bidi w:val="0"/>
              <w:jc w:val="center"/>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hRule="exact" w:val="361"/>
        </w:trPr>
        <w:tc>
          <w:tcPr>
            <w:tcW w:w="28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NonGrasNoContent"/>
              <w:pBdr>
                <w:top w:val="none" w:sz="0" w:space="0" w:color="auto"/>
              </w:pBdr>
              <w:bidi w:val="0"/>
              <w:ind w:left="100" w:right="100"/>
              <w:jc w:val="both"/>
              <w:rPr>
                <w:rFonts w:ascii="Arial" w:eastAsia="Arial" w:hAnsi="Arial" w:cs="Arial"/>
                <w:b w:val="0"/>
                <w:i w:val="0"/>
                <w:strike w:val="0"/>
                <w:color w:val="000000"/>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ectPr>
          <w:headerReference w:type="default" r:id="rId21"/>
          <w:footerReference w:type="default" r:id="rId22"/>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f) Règlement et compensation des contrats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Triparties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Contrepartie centrale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Bilatéraux</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g) Échéance de la garantie ventilée en fonction des tranches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h) Échéance des opérations de financement sur titres et TRS ventilée en fonction des tranches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46 999 940,00</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 Données sur la réutilisation des garanties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 maximal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Montant utilisé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Revenus pour l'OPC suite au réinvestissement des garanties espèces en euros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j) Données sur la conservation des garanties reçues par l'OPC</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77"/>
        <w:gridCol w:w="20"/>
        <w:gridCol w:w="1359"/>
        <w:gridCol w:w="1359"/>
        <w:gridCol w:w="1379"/>
        <w:gridCol w:w="1359"/>
        <w:gridCol w:w="1379"/>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gridSpan w:val="2"/>
            <w:tcBorders>
              <w:bottom w:val="single" w:sz="4" w:space="0" w:color="232323"/>
              <w:right w:val="none" w:sz="0" w:space="0" w:color="auto"/>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Caceis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Titres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pacing w:after="0" w:line="240" w:lineRule="exact"/>
        <w:rPr>
          <w:sz w:val="24"/>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k) Données sur la conservation des garanties fournies par l'OPC</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92"/>
        <w:gridCol w:w="1356"/>
        <w:gridCol w:w="1376"/>
        <w:gridCol w:w="1356"/>
        <w:gridCol w:w="1376"/>
        <w:gridCol w:w="137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2800" w:type="dxa"/>
            <w:tcBorders>
              <w:bottom w:val="single" w:sz="4" w:space="0" w:color="232323"/>
            </w:tcBorders>
            <w:tcMar>
              <w:top w:w="0" w:type="dxa"/>
              <w:left w:w="0" w:type="dxa"/>
              <w:bottom w:w="0" w:type="dxa"/>
              <w:right w:w="0" w:type="dxa"/>
            </w:tcMar>
          </w:tcPr>
          <w:p>
            <w:pPr>
              <w:pStyle w:val="DefaultEmptyStyle"/>
              <w:pBdr>
                <w:top w:val="none" w:sz="0" w:space="0" w:color="auto"/>
              </w:pBdr>
              <w:bidi w:val="0"/>
              <w:jc w:val="both"/>
              <w:rPr>
                <w:rFonts w:ascii="Arial" w:eastAsia="Arial" w:hAnsi="Arial" w:cs="Arial"/>
                <w:b w:val="0"/>
                <w:i w:val="0"/>
                <w:strike w:val="0"/>
                <w:color w:val="FFFFFF"/>
                <w:sz w:val="0"/>
                <w:u w:val="none"/>
                <w:vertAlign w:val="baseline"/>
                <w:lang w:val="fr-FR"/>
              </w:rPr>
            </w:pPr>
            <w:r>
              <w:rPr>
                <w:rFonts w:ascii="Arial" w:eastAsia="Arial" w:hAnsi="Arial" w:cs="Arial"/>
                <w:b w:val="0"/>
                <w:i w:val="0"/>
                <w:strike w:val="0"/>
                <w:color w:val="FFFFFF"/>
                <w:sz w:val="0"/>
                <w:u w:val="none"/>
                <w:vertAlign w:val="baseline"/>
                <w:lang w:val="fr-FR"/>
              </w:rPr>
              <w:t xml:space="preserve"> </w:t>
            </w: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6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c>
          <w:tcPr>
            <w:tcW w:w="1380" w:type="dxa"/>
            <w:tcMar>
              <w:top w:w="0" w:type="dxa"/>
              <w:left w:w="0" w:type="dxa"/>
              <w:bottom w:w="0" w:type="dxa"/>
              <w:right w:w="0" w:type="dxa"/>
            </w:tcMar>
          </w:tcPr>
          <w:p>
            <w:pPr>
              <w:rPr>
                <w:sz w:val="2"/>
              </w:rPr>
            </w:pP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sectPr>
          <w:headerReference w:type="default" r:id="rId23"/>
          <w:footerReference w:type="default" r:id="rId24"/>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9"/>
        <w:gridCol w:w="1355"/>
        <w:gridCol w:w="1376"/>
        <w:gridCol w:w="1356"/>
        <w:gridCol w:w="1376"/>
        <w:gridCol w:w="137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800" w:type="dxa"/>
            <w:tcMar>
              <w:top w:w="0" w:type="dxa"/>
              <w:left w:w="0" w:type="dxa"/>
              <w:bottom w:w="0" w:type="dxa"/>
              <w:right w:w="0" w:type="dxa"/>
            </w:tcMar>
          </w:tcPr>
          <w:p>
            <w:pPr>
              <w:pStyle w:val="SimpleStyleNoContent"/>
              <w:pBdr>
                <w:top w:val="none" w:sz="0" w:space="0" w:color="auto"/>
              </w:pBdr>
              <w:bidi w:val="0"/>
              <w:jc w:val="both"/>
              <w:rPr>
                <w:rFonts w:ascii="Arial" w:eastAsia="Arial" w:hAnsi="Arial" w:cs="Arial"/>
                <w:b w:val="0"/>
                <w:i w:val="0"/>
                <w:strike w:val="0"/>
                <w:color w:val="232323"/>
                <w:sz w:val="18"/>
                <w:u w:val="none"/>
                <w:vertAlign w:val="baseline"/>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TRS</w:t>
            </w:r>
          </w:p>
        </w:tc>
      </w:tr>
    </w:tbl>
    <w:p>
      <w:pPr>
        <w:spacing w:after="0" w:line="90" w:lineRule="exact"/>
        <w:rPr>
          <w:sz w:val="9"/>
        </w:rPr>
      </w:pPr>
      <w:r>
        <w:t xml:space="preserve"> </w:t>
      </w:r>
    </w:p>
    <w:p>
      <w:pPr>
        <w:pStyle w:val="TextBold"/>
        <w:pBdr>
          <w:top w:val="none" w:sz="0" w:space="0" w:color="auto"/>
          <w:bottom w:val="none" w:sz="0" w:space="0" w:color="auto"/>
        </w:pBdr>
        <w:bidi w:val="0"/>
        <w:spacing w:before="0" w:after="0" w:line="300" w:lineRule="atLeast"/>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l) Données sur les revenus et les coûts ventilés</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788"/>
        <w:gridCol w:w="1355"/>
        <w:gridCol w:w="1375"/>
        <w:gridCol w:w="1355"/>
        <w:gridCol w:w="1375"/>
        <w:gridCol w:w="137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Revenus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pPr>
              <w:pStyle w:val="TotalTabFirstColBordureNoColor"/>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Coûts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pPr>
              <w:pStyle w:val="TotalTabMiddle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Color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Tab1MiddleColBordure"/>
              <w:pBdr>
                <w:top w:val="none" w:sz="0" w:space="0" w:color="auto"/>
              </w:pBdr>
              <w:bidi w:val="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pPr>
              <w:pStyle w:val="TotalTabLastColBordure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spacing w:after="0" w:line="150" w:lineRule="exact"/>
        <w:rPr>
          <w:sz w:val="15"/>
        </w:rPr>
      </w:pPr>
      <w:r>
        <w:t xml:space="preserve"> </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E3C6570B0085833703D4A2BD13E6EC33 "" </w:instrText>
      </w:r>
      <w:r>
        <w:rPr>
          <w:rFonts w:ascii="Arial" w:eastAsia="Arial" w:hAnsi="Arial" w:cs="Arial"/>
          <w:b w:val="0"/>
          <w:i w:val="0"/>
          <w:strike w:val="0"/>
          <w:color w:val="000000"/>
          <w:sz w:val="0"/>
          <w:u w:val="none"/>
          <w:vertAlign w:val="baseline"/>
          <w:lang w:val="fr-FR"/>
        </w:rPr>
        <w:fldChar w:fldCharType="separate"/>
      </w:r>
      <w:bookmarkStart w:id="37" w:name="E3C6570B0085833703D4A2BD13E6EC33"/>
      <w:bookmarkEnd w:id="37"/>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38" w:name="e) Données Type et qualité des garanties"/>
      <w:bookmarkEnd w:id="38"/>
      <w:r>
        <w:rPr>
          <w:rFonts w:ascii="Arial" w:eastAsia="Arial" w:hAnsi="Arial" w:cs="Arial"/>
          <w:b/>
          <w:i w:val="0"/>
          <w:strike w:val="0"/>
          <w:color w:val="232323"/>
          <w:sz w:val="20"/>
          <w:u w:val="none"/>
          <w:vertAlign w:val="baseline"/>
          <w:lang w:val="fr-FR"/>
        </w:rPr>
        <w:t>e) Données Type et qualité des garanties (collatéral)</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9" w:name="BK_2594B8E69B50549C6ECF0E1380167700"/>
      <w:bookmarkEnd w:id="3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36AA21E901D6C91E1854652F50FE08DE "" </w:instrText>
      </w:r>
      <w:r>
        <w:rPr>
          <w:rFonts w:ascii="Arial" w:eastAsia="Arial" w:hAnsi="Arial" w:cs="Arial"/>
          <w:b w:val="0"/>
          <w:i w:val="0"/>
          <w:strike w:val="0"/>
          <w:color w:val="000000"/>
          <w:sz w:val="0"/>
          <w:u w:val="none"/>
          <w:vertAlign w:val="baseline"/>
          <w:lang w:val="fr-FR"/>
        </w:rPr>
        <w:fldChar w:fldCharType="separate"/>
      </w:r>
      <w:bookmarkStart w:id="40" w:name="36AA21E901D6C91E1854652F50FE08DE"/>
      <w:bookmarkEnd w:id="40"/>
      <w:r>
        <w:rPr>
          <w:rFonts w:ascii="Arial" w:eastAsia="Arial" w:hAnsi="Arial" w:cs="Arial"/>
          <w:b w:val="0"/>
          <w:i w:val="0"/>
          <w:strike w:val="0"/>
          <w:color w:val="000000"/>
          <w:sz w:val="0"/>
          <w:u w:val="none"/>
          <w:vertAlign w:val="baseline"/>
          <w:lang w:val="fr-FR"/>
        </w:rPr>
        <w:fldChar w:fldCharType="end"/>
      </w:r>
    </w:p>
    <w:p w:rsidR="00CD0EFB" w:rsidRPr="00777047" w:rsidP="00777047">
      <w:pPr>
        <w:spacing w:after="0" w:line="240" w:lineRule="auto"/>
        <w:jc w:val="both"/>
        <w:rPr>
          <w:rFonts w:ascii="Arial" w:eastAsia="Arial" w:hAnsi="Arial" w:cs="Arial"/>
          <w:color w:val="232323"/>
          <w:sz w:val="20"/>
          <w:szCs w:val="20"/>
          <w:lang w:val="fr-FR"/>
        </w:rPr>
      </w:pPr>
      <w:bookmarkStart w:id="41" w:name="cba4de1155e9bf991854e7860b0f5c332_START"/>
      <w:bookmarkEnd w:id="41"/>
      <w:r w:rsidRPr="00F06268" w:rsidR="00FA2962">
        <w:rPr>
          <w:rFonts w:ascii="Arial" w:eastAsia="Arial" w:hAnsi="Arial" w:cs="Arial"/>
          <w:color w:val="232323"/>
          <w:sz w:val="20"/>
          <w:szCs w:val="20"/>
          <w:lang w:val="fr-FR"/>
        </w:rPr>
        <w:t>BFT Investment Managers veille à n’accepter que des titres d’une haute qualité de crédit et veille à rehausser la valeur de ses garanties en appliquant des décotes de valorisation sur les titres reçus. Ce dispositif est régu</w:t>
      </w:r>
      <w:r w:rsidR="00777047">
        <w:rPr>
          <w:rFonts w:ascii="Arial" w:eastAsia="Arial" w:hAnsi="Arial" w:cs="Arial"/>
          <w:color w:val="232323"/>
          <w:sz w:val="20"/>
          <w:szCs w:val="20"/>
          <w:lang w:val="fr-FR"/>
        </w:rPr>
        <w:t>lièrement revu et remis à jour.</w:t>
      </w:r>
      <w:bookmarkStart w:id="42" w:name="cba4de1155e9bf991854e7860b0f5c332_END"/>
      <w:bookmarkEnd w:id="4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0EC7A7C33673CE115F14085E09CAD2DB "" </w:instrText>
      </w:r>
      <w:r>
        <w:rPr>
          <w:rFonts w:ascii="Arial" w:eastAsia="Arial" w:hAnsi="Arial" w:cs="Arial"/>
          <w:b w:val="0"/>
          <w:i w:val="0"/>
          <w:strike w:val="0"/>
          <w:color w:val="000000"/>
          <w:sz w:val="0"/>
          <w:u w:val="none"/>
          <w:vertAlign w:val="baseline"/>
          <w:lang w:val="fr-FR"/>
        </w:rPr>
        <w:fldChar w:fldCharType="separate"/>
      </w:r>
      <w:bookmarkStart w:id="43" w:name="0EC7A7C33673CE115F14085E09CAD2DB"/>
      <w:bookmarkEnd w:id="43"/>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44" w:name="i) Données sur la réutilisation des gara"/>
      <w:bookmarkEnd w:id="44"/>
      <w:r>
        <w:rPr>
          <w:rFonts w:ascii="Arial" w:eastAsia="Arial" w:hAnsi="Arial" w:cs="Arial"/>
          <w:b/>
          <w:i w:val="0"/>
          <w:strike w:val="0"/>
          <w:color w:val="232323"/>
          <w:sz w:val="20"/>
          <w:u w:val="none"/>
          <w:vertAlign w:val="baseline"/>
          <w:lang w:val="fr-FR"/>
        </w:rPr>
        <w:t>i) Données sur la réutilisation des garanties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5" w:name="BK_0F461562490689884C1952B5C5C218E2"/>
      <w:bookmarkEnd w:id="4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9A9E226FC01293271F40201854EF467C "" </w:instrText>
      </w:r>
      <w:r>
        <w:rPr>
          <w:rFonts w:ascii="Arial" w:eastAsia="Arial" w:hAnsi="Arial" w:cs="Arial"/>
          <w:b w:val="0"/>
          <w:i w:val="0"/>
          <w:strike w:val="0"/>
          <w:color w:val="000000"/>
          <w:sz w:val="0"/>
          <w:u w:val="none"/>
          <w:vertAlign w:val="baseline"/>
          <w:lang w:val="fr-FR"/>
        </w:rPr>
        <w:fldChar w:fldCharType="separate"/>
      </w:r>
      <w:bookmarkStart w:id="46" w:name="9A9E226FC01293271F40201854EF467C"/>
      <w:bookmarkEnd w:id="46"/>
      <w:r>
        <w:rPr>
          <w:rFonts w:ascii="Arial" w:eastAsia="Arial" w:hAnsi="Arial" w:cs="Arial"/>
          <w:b w:val="0"/>
          <w:i w:val="0"/>
          <w:strike w:val="0"/>
          <w:color w:val="000000"/>
          <w:sz w:val="0"/>
          <w:u w:val="none"/>
          <w:vertAlign w:val="baseline"/>
          <w:lang w:val="fr-FR"/>
        </w:rPr>
        <w:fldChar w:fldCharType="end"/>
      </w:r>
    </w:p>
    <w:p w:rsidR="0042331D" w:rsidRPr="00F06268" w:rsidP="0042331D">
      <w:pPr>
        <w:spacing w:after="0" w:line="240" w:lineRule="auto"/>
        <w:jc w:val="both"/>
        <w:rPr>
          <w:rFonts w:ascii="Arial" w:eastAsia="Arial" w:hAnsi="Arial" w:cs="Arial"/>
          <w:color w:val="232323"/>
          <w:sz w:val="20"/>
          <w:szCs w:val="20"/>
          <w:lang w:val="fr-FR"/>
        </w:rPr>
      </w:pPr>
      <w:bookmarkStart w:id="47" w:name="ce5e1b7c4ea3daf3fb0c351cdee506649_START"/>
      <w:bookmarkEnd w:id="47"/>
      <w:r w:rsidRPr="00F06268">
        <w:rPr>
          <w:rFonts w:ascii="Arial" w:eastAsia="Arial" w:hAnsi="Arial" w:cs="Arial"/>
          <w:color w:val="232323"/>
          <w:sz w:val="20"/>
          <w:szCs w:val="20"/>
          <w:lang w:val="fr-FR"/>
        </w:rPr>
        <w:t xml:space="preserve">« La règlementation applicable aux OPCVM interdit la réutilisation par ce dernier des garanties reçues en titres. Les garanties reçues en espèces sont réinvesties dans les 5 supports suivants : </w:t>
      </w:r>
    </w:p>
    <w:p w:rsidR="0042331D" w:rsidRPr="00F06268" w:rsidP="001B1EB4">
      <w:pPr>
        <w:tabs>
          <w:tab w:val="left" w:pos="426"/>
        </w:tabs>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r>
      <w:bookmarkStart w:id="48" w:name="_GoBack"/>
      <w:r w:rsidRPr="00F06268">
        <w:rPr>
          <w:rFonts w:ascii="Arial" w:eastAsia="Arial" w:hAnsi="Arial" w:cs="Arial"/>
          <w:color w:val="232323"/>
          <w:sz w:val="20"/>
          <w:szCs w:val="20"/>
          <w:lang w:val="fr-FR"/>
        </w:rPr>
        <w:t>OPCVM monétaires court terme (tels que définis par l’ESMA dans ses orientations sur les fonds cotés et autres questions liées aux OPCVM)</w:t>
      </w:r>
    </w:p>
    <w:p w:rsidR="0042331D" w:rsidRPr="00F06268" w:rsidP="001B1EB4">
      <w:pPr>
        <w:tabs>
          <w:tab w:val="left" w:pos="426"/>
        </w:tabs>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Dépôt</w:t>
      </w:r>
    </w:p>
    <w:p w:rsidR="0042331D" w:rsidRPr="00F06268" w:rsidP="001B1EB4">
      <w:pPr>
        <w:tabs>
          <w:tab w:val="left" w:pos="426"/>
        </w:tabs>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 xml:space="preserve">Titres d`Etats Long Terme de haute qualité </w:t>
      </w:r>
    </w:p>
    <w:p w:rsidR="0042331D" w:rsidRPr="00F06268" w:rsidP="001B1EB4">
      <w:pPr>
        <w:tabs>
          <w:tab w:val="left" w:pos="426"/>
        </w:tabs>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 xml:space="preserve">Titres d`Etats Court Terme de haute qualité </w:t>
      </w:r>
    </w:p>
    <w:p w:rsidR="0042331D" w:rsidRPr="00F06268" w:rsidP="001B1EB4">
      <w:pPr>
        <w:tabs>
          <w:tab w:val="left" w:pos="426"/>
        </w:tabs>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o</w:t>
      </w:r>
      <w:r w:rsidRPr="00F06268">
        <w:rPr>
          <w:rFonts w:ascii="Arial" w:eastAsia="Arial" w:hAnsi="Arial" w:cs="Arial"/>
          <w:color w:val="232323"/>
          <w:sz w:val="20"/>
          <w:szCs w:val="20"/>
          <w:lang w:val="fr-FR"/>
        </w:rPr>
        <w:tab/>
        <w:t>Prises en pension »</w:t>
      </w:r>
    </w:p>
    <w:bookmarkEnd w:id="48"/>
    <w:p w:rsidR="0042331D" w:rsidRPr="00F06268" w:rsidP="0042331D">
      <w:pPr>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Le montant maximal de réutilisation est de 0% pour les titres et 100% du montant reçu pour les espèces.</w:t>
      </w:r>
    </w:p>
    <w:p w:rsidR="003A565B" w:rsidRPr="00F06021" w:rsidP="00F06021">
      <w:pPr>
        <w:spacing w:after="0" w:line="240" w:lineRule="auto"/>
        <w:jc w:val="both"/>
        <w:rPr>
          <w:rFonts w:ascii="Arial" w:eastAsia="Arial" w:hAnsi="Arial" w:cs="Arial"/>
          <w:color w:val="232323"/>
          <w:sz w:val="20"/>
          <w:szCs w:val="20"/>
          <w:lang w:val="fr-FR"/>
        </w:rPr>
      </w:pPr>
      <w:r w:rsidRPr="00F06268">
        <w:rPr>
          <w:rFonts w:ascii="Arial" w:eastAsia="Arial" w:hAnsi="Arial" w:cs="Arial"/>
          <w:color w:val="232323"/>
          <w:sz w:val="20"/>
          <w:szCs w:val="20"/>
          <w:lang w:val="fr-FR"/>
        </w:rPr>
        <w:t xml:space="preserve">Le montant utilisé est de 0% pour les titres </w:t>
      </w:r>
      <w:r w:rsidR="00F06021">
        <w:rPr>
          <w:rFonts w:ascii="Arial" w:eastAsia="Arial" w:hAnsi="Arial" w:cs="Arial"/>
          <w:color w:val="232323"/>
          <w:sz w:val="20"/>
          <w:szCs w:val="20"/>
          <w:lang w:val="fr-FR"/>
        </w:rPr>
        <w:t>et 100% pour les espèces reçus.</w:t>
      </w:r>
      <w:bookmarkStart w:id="49" w:name="ce5e1b7c4ea3daf3fb0c351cdee506649_END"/>
      <w:bookmarkEnd w:id="4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A3302312ABDECB567674C5D28F129E3D "" </w:instrText>
      </w:r>
      <w:r>
        <w:rPr>
          <w:rFonts w:ascii="Arial" w:eastAsia="Arial" w:hAnsi="Arial" w:cs="Arial"/>
          <w:b w:val="0"/>
          <w:i w:val="0"/>
          <w:strike w:val="0"/>
          <w:color w:val="000000"/>
          <w:sz w:val="0"/>
          <w:u w:val="none"/>
          <w:vertAlign w:val="baseline"/>
          <w:lang w:val="fr-FR"/>
        </w:rPr>
        <w:fldChar w:fldCharType="separate"/>
      </w:r>
      <w:bookmarkStart w:id="50" w:name="A3302312ABDECB567674C5D28F129E3D"/>
      <w:bookmarkEnd w:id="50"/>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51" w:name="k) Données sur la conservation des garan"/>
      <w:bookmarkEnd w:id="51"/>
      <w:r>
        <w:rPr>
          <w:rFonts w:ascii="Arial" w:eastAsia="Arial" w:hAnsi="Arial" w:cs="Arial"/>
          <w:b/>
          <w:i w:val="0"/>
          <w:strike w:val="0"/>
          <w:color w:val="232323"/>
          <w:sz w:val="20"/>
          <w:u w:val="none"/>
          <w:vertAlign w:val="baseline"/>
          <w:lang w:val="fr-FR"/>
        </w:rPr>
        <w:t>k) Données sur la conservation des garanties fournies par l'OPC</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2" w:name="BK_E2392A88410810A57F0345885C3674BB"/>
      <w:bookmarkEnd w:id="5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358BA26093DDEB52967546BE72CB996C "" </w:instrText>
      </w:r>
      <w:r>
        <w:rPr>
          <w:rFonts w:ascii="Arial" w:eastAsia="Arial" w:hAnsi="Arial" w:cs="Arial"/>
          <w:b w:val="0"/>
          <w:i w:val="0"/>
          <w:strike w:val="0"/>
          <w:color w:val="000000"/>
          <w:sz w:val="0"/>
          <w:u w:val="none"/>
          <w:vertAlign w:val="baseline"/>
          <w:lang w:val="fr-FR"/>
        </w:rPr>
        <w:fldChar w:fldCharType="separate"/>
      </w:r>
      <w:bookmarkStart w:id="53" w:name="358BA26093DDEB52967546BE72CB996C"/>
      <w:bookmarkEnd w:id="53"/>
      <w:r>
        <w:rPr>
          <w:rFonts w:ascii="Arial" w:eastAsia="Arial" w:hAnsi="Arial" w:cs="Arial"/>
          <w:b w:val="0"/>
          <w:i w:val="0"/>
          <w:strike w:val="0"/>
          <w:color w:val="000000"/>
          <w:sz w:val="0"/>
          <w:u w:val="none"/>
          <w:vertAlign w:val="baseline"/>
          <w:lang w:val="fr-FR"/>
        </w:rPr>
        <w:fldChar w:fldCharType="end"/>
      </w:r>
    </w:p>
    <w:p w:rsidR="00F82154" w:rsidRPr="002824CB" w:rsidP="002824CB">
      <w:pPr>
        <w:spacing w:after="0" w:line="240" w:lineRule="auto"/>
        <w:jc w:val="both"/>
        <w:rPr>
          <w:rFonts w:ascii="Arial" w:eastAsia="Arial" w:hAnsi="Arial" w:cs="Arial"/>
          <w:color w:val="232323"/>
          <w:sz w:val="20"/>
          <w:szCs w:val="20"/>
          <w:lang w:val="fr-FR"/>
        </w:rPr>
      </w:pPr>
      <w:bookmarkStart w:id="54" w:name="c731a1e026d9c06d28d03b0678264f867_START"/>
      <w:bookmarkEnd w:id="54"/>
      <w:r w:rsidRPr="00F06268" w:rsidR="00FC0743">
        <w:rPr>
          <w:rFonts w:ascii="Arial" w:eastAsia="Arial" w:hAnsi="Arial" w:cs="Arial"/>
          <w:color w:val="232323"/>
          <w:sz w:val="20"/>
          <w:szCs w:val="20"/>
          <w:lang w:val="fr-FR"/>
        </w:rPr>
        <w:t>BFT Investment Managers  veille à travailler avec un nombre réduit de dépositaires, sélectionnés pour s’assurer de la bonne conservatio</w:t>
      </w:r>
      <w:r w:rsidR="002824CB">
        <w:rPr>
          <w:rFonts w:ascii="Arial" w:eastAsia="Arial" w:hAnsi="Arial" w:cs="Arial"/>
          <w:color w:val="232323"/>
          <w:sz w:val="20"/>
          <w:szCs w:val="20"/>
          <w:lang w:val="fr-FR"/>
        </w:rPr>
        <w:t xml:space="preserve">n des titres reçus et du cash. </w:t>
      </w:r>
      <w:bookmarkStart w:id="55" w:name="c731a1e026d9c06d28d03b0678264f867_END"/>
      <w:bookmarkEnd w:id="5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CB21FA1BFEF3835F7FF5C937ADCD814C "" </w:instrText>
      </w:r>
      <w:r>
        <w:rPr>
          <w:rFonts w:ascii="Arial" w:eastAsia="Arial" w:hAnsi="Arial" w:cs="Arial"/>
          <w:b w:val="0"/>
          <w:i w:val="0"/>
          <w:strike w:val="0"/>
          <w:color w:val="000000"/>
          <w:sz w:val="0"/>
          <w:u w:val="none"/>
          <w:vertAlign w:val="baseline"/>
          <w:lang w:val="fr-FR"/>
        </w:rPr>
        <w:fldChar w:fldCharType="separate"/>
      </w:r>
      <w:bookmarkStart w:id="56" w:name="CB21FA1BFEF3835F7FF5C937ADCD814C"/>
      <w:bookmarkEnd w:id="56"/>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bookmarkStart w:id="57" w:name="l) Données sur les revenus et les coûts "/>
      <w:bookmarkEnd w:id="57"/>
      <w:r>
        <w:rPr>
          <w:rFonts w:ascii="Arial" w:eastAsia="Arial" w:hAnsi="Arial" w:cs="Arial"/>
          <w:b/>
          <w:i w:val="0"/>
          <w:strike w:val="0"/>
          <w:color w:val="232323"/>
          <w:sz w:val="20"/>
          <w:u w:val="none"/>
          <w:vertAlign w:val="baseline"/>
          <w:lang w:val="fr-FR"/>
        </w:rPr>
        <w:t>l) Données sur les revenus et les coûts ventilés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8" w:name="BK_4C86CB0D150317B4C0FF0098162C947F"/>
      <w:bookmarkEnd w:id="5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FCC30B41BA0E5C9EC7F190600F081731 "" </w:instrText>
      </w:r>
      <w:r>
        <w:rPr>
          <w:rFonts w:ascii="Arial" w:eastAsia="Arial" w:hAnsi="Arial" w:cs="Arial"/>
          <w:b w:val="0"/>
          <w:i w:val="0"/>
          <w:strike w:val="0"/>
          <w:color w:val="000000"/>
          <w:sz w:val="0"/>
          <w:u w:val="none"/>
          <w:vertAlign w:val="baseline"/>
          <w:lang w:val="fr-FR"/>
        </w:rPr>
        <w:fldChar w:fldCharType="separate"/>
      </w:r>
      <w:bookmarkStart w:id="59" w:name="FCC30B41BA0E5C9EC7F190600F081731"/>
      <w:bookmarkEnd w:id="59"/>
      <w:r>
        <w:rPr>
          <w:rFonts w:ascii="Arial" w:eastAsia="Arial" w:hAnsi="Arial" w:cs="Arial"/>
          <w:b w:val="0"/>
          <w:i w:val="0"/>
          <w:strike w:val="0"/>
          <w:color w:val="000000"/>
          <w:sz w:val="0"/>
          <w:u w:val="none"/>
          <w:vertAlign w:val="baseline"/>
          <w:lang w:val="fr-FR"/>
        </w:rPr>
        <w:fldChar w:fldCharType="end"/>
      </w:r>
    </w:p>
    <w:p w:rsidR="005223D0" w:rsidRPr="00F06268" w:rsidP="005223D0">
      <w:pPr>
        <w:spacing w:after="0" w:line="240" w:lineRule="auto"/>
        <w:jc w:val="both"/>
        <w:rPr>
          <w:rFonts w:ascii="Arial" w:eastAsia="Arial" w:hAnsi="Arial" w:cs="Arial"/>
          <w:color w:val="232323"/>
          <w:sz w:val="20"/>
          <w:szCs w:val="20"/>
          <w:lang w:val="fr-FR"/>
        </w:rPr>
      </w:pPr>
      <w:bookmarkStart w:id="60" w:name="c6da32386c6d166a87598df2e2dfc58d9_START"/>
      <w:bookmarkEnd w:id="60"/>
      <w:r w:rsidRPr="00F06268">
        <w:rPr>
          <w:rFonts w:ascii="Arial" w:eastAsia="Arial" w:hAnsi="Arial" w:cs="Arial"/>
          <w:color w:val="232323"/>
          <w:sz w:val="20"/>
          <w:szCs w:val="20"/>
          <w:lang w:val="fr-FR"/>
        </w:rPr>
        <w:t xml:space="preserve">Opérations de prêts de titres et de mise en pension : </w:t>
      </w:r>
    </w:p>
    <w:p w:rsidR="00192A59" w:rsidRPr="0030702B" w:rsidP="0030702B">
      <w:pPr>
        <w:spacing w:after="0" w:line="240" w:lineRule="auto"/>
        <w:jc w:val="both"/>
        <w:rPr>
          <w:rFonts w:ascii="Arial" w:eastAsia="Arial" w:hAnsi="Arial" w:cs="Arial"/>
          <w:color w:val="232323"/>
          <w:sz w:val="20"/>
          <w:szCs w:val="20"/>
          <w:lang w:val="fr-FR"/>
        </w:rPr>
      </w:pPr>
      <w:r w:rsidRPr="00F06268" w:rsidR="005223D0">
        <w:rPr>
          <w:rFonts w:ascii="Arial" w:eastAsia="Arial" w:hAnsi="Arial" w:cs="Arial"/>
          <w:color w:val="232323"/>
          <w:sz w:val="20"/>
          <w:szCs w:val="20"/>
          <w:lang w:val="fr-FR"/>
        </w:rPr>
        <w:t>Dans le cadre des opérations de prêts de titres et de mise en pension, BFT Investment Managers, a confié à Amundi Intermédiation, pour le compte de l'OPC, les réalisations suivantes : la sélection des contreparties, la demande de mise en place des contrats de marché, le contrôle du risque de contrepartie, le suivi qualitatif et quantitatif de la collatéralisation (contrôles de dispersion, des notations, des liquidités), des pensions et prêts de titres Les revenus résultant de ces opérations sont restitués à l'OPC. Ces opérations engendrent des coûts qui sont supportés par l'OPC. La facturation par Amundi Intermédiation ne peut excéder 50% des reve</w:t>
      </w:r>
      <w:r w:rsidR="0030702B">
        <w:rPr>
          <w:rFonts w:ascii="Arial" w:eastAsia="Arial" w:hAnsi="Arial" w:cs="Arial"/>
          <w:color w:val="232323"/>
          <w:sz w:val="20"/>
          <w:szCs w:val="20"/>
          <w:lang w:val="fr-FR"/>
        </w:rPr>
        <w:t>nus générés par ces opérations.</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5"/>
          <w:footerReference w:type="default" r:id="rId26"/>
          <w:pgSz w:w="11900" w:h="16840"/>
          <w:pgMar w:top="2154" w:right="1134" w:bottom="1134" w:left="1134" w:header="400" w:footer="400"/>
          <w:cols w:space="720"/>
        </w:sectPr>
      </w:pPr>
      <w:bookmarkStart w:id="61" w:name="c6da32386c6d166a87598df2e2dfc58d9_END"/>
      <w:bookmarkEnd w:id="6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FDF7039F54325176593D7D6D0FB7EE51 "" </w:instrText>
      </w:r>
      <w:r>
        <w:rPr>
          <w:rFonts w:ascii="Arial" w:eastAsia="Arial" w:hAnsi="Arial" w:cs="Arial"/>
          <w:b w:val="0"/>
          <w:i w:val="0"/>
          <w:strike w:val="0"/>
          <w:color w:val="000000"/>
          <w:sz w:val="0"/>
          <w:u w:val="none"/>
          <w:vertAlign w:val="baseline"/>
          <w:lang w:val="fr-FR"/>
        </w:rPr>
        <w:fldChar w:fldCharType="separate"/>
      </w:r>
      <w:bookmarkStart w:id="62" w:name="FDF7039F54325176593D7D6D0FB7EE51"/>
      <w:bookmarkEnd w:id="6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63" w:name="Inventaire des actifs et passifs"/>
      <w:bookmarkEnd w:id="63"/>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4" w:name="BK_A15F88A7EC1B9E0062D18CE9F151DF6A"/>
      <w:bookmarkEnd w:id="64"/>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D5979184F38B72E1277DA0314F3BAA4C "" </w:instrText>
      </w:r>
      <w:r>
        <w:rPr>
          <w:rFonts w:ascii="Arial" w:eastAsia="Arial" w:hAnsi="Arial" w:cs="Arial"/>
          <w:b w:val="0"/>
          <w:i w:val="0"/>
          <w:strike w:val="0"/>
          <w:color w:val="000000"/>
          <w:sz w:val="0"/>
          <w:u w:val="none"/>
          <w:vertAlign w:val="baseline"/>
          <w:lang w:val="fr-FR"/>
        </w:rPr>
        <w:fldChar w:fldCharType="separate"/>
      </w:r>
      <w:bookmarkStart w:id="65" w:name="D5979184F38B72E1277DA0314F3BAA4C"/>
      <w:bookmarkEnd w:id="6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867D62C8ABB345F3270A372A2A2BCAEE "" </w:instrText>
      </w:r>
      <w:r>
        <w:rPr>
          <w:rFonts w:ascii="Arial" w:eastAsia="Arial" w:hAnsi="Arial" w:cs="Arial"/>
          <w:b w:val="0"/>
          <w:i w:val="0"/>
          <w:strike w:val="0"/>
          <w:color w:val="000000"/>
          <w:sz w:val="0"/>
          <w:u w:val="none"/>
          <w:vertAlign w:val="baseline"/>
          <w:lang w:val="fr-FR"/>
        </w:rPr>
        <w:fldChar w:fldCharType="separate"/>
      </w:r>
      <w:bookmarkStart w:id="66" w:name="867D62C8ABB345F3270A372A2A2BCAEE"/>
      <w:bookmarkEnd w:id="6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67" w:name="Inventaire des éléments de bilan"/>
      <w:bookmarkEnd w:id="67"/>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8" w:name="BK_813BDAE825FFA9309F289C5416F9B7EB"/>
      <w:bookmarkEnd w:id="68"/>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A6AA48014AD0DD56DC954A5A2D294170 "" </w:instrText>
      </w:r>
      <w:r>
        <w:rPr>
          <w:rFonts w:ascii="Arial" w:eastAsia="Arial" w:hAnsi="Arial" w:cs="Arial"/>
          <w:b w:val="0"/>
          <w:i w:val="0"/>
          <w:strike w:val="0"/>
          <w:color w:val="000000"/>
          <w:sz w:val="0"/>
          <w:u w:val="none"/>
          <w:vertAlign w:val="baseline"/>
          <w:lang w:val="fr-FR"/>
        </w:rPr>
        <w:fldChar w:fldCharType="separate"/>
      </w:r>
      <w:bookmarkStart w:id="69" w:name="A6AA48014AD0DD56DC954A5A2D294170"/>
      <w:bookmarkEnd w:id="6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47 284 424,19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83,54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47 284 424,19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83,54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1 682 385,60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2,97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HANNOVER RUECK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6 762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1 682 385,60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2 872 652,62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BAYERISCHE MOTOREN WERKE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23 887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2 136 931,02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KNORR-BREMSE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8 248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735 721,60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3 995 996,34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COMMERZBANK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58 617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1 912 086,54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KBC ANCORA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31 479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2 083 909,80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Biotechnologie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1 508 901,58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IMCD BV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15 721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1 508 901,58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1 924 504,40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8 134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1 924 504,40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1 795 531,94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ARCADIS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3 817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150 466,14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HOCHTIEF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7 609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1 645 065,80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1 569 382,15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KESKO OYJ-B SHS</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82 817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1 569 382,15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2 131 327,39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EDP SA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562 801</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2 131 327,39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2 097 346,92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3,71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HEALTHINEERS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44 332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2 097 346,92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3 732 248,61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6,59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LEG IMMOBILIEN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28 496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2 038 888,80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61 287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1 693 359,81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1 823 367,98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3,22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AIRBUS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10 183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1 823 367,98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1 514 846,20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ZALANDO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63 649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1 514 846,20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3 650 890,48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6,45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GEA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33 428</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2 079 221,60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IVECO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85 533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1 571 668,88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2,78</w:t>
            </w:r>
          </w:p>
        </w:tc>
      </w:tr>
    </w:tbl>
    <w:p>
      <w:pPr>
        <w:sectPr>
          <w:headerReference w:type="default" r:id="rId27"/>
          <w:footerReference w:type="default" r:id="rId28"/>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DDECF0FE129DB5E0C4B77C2B50579BE9 "" </w:instrText>
      </w:r>
      <w:r>
        <w:rPr>
          <w:rFonts w:ascii="Arial" w:eastAsia="Arial" w:hAnsi="Arial" w:cs="Arial"/>
          <w:b w:val="0"/>
          <w:i w:val="0"/>
          <w:strike w:val="0"/>
          <w:color w:val="000000"/>
          <w:sz w:val="0"/>
          <w:u w:val="none"/>
          <w:vertAlign w:val="baseline"/>
          <w:lang w:val="fr-FR"/>
        </w:rPr>
        <w:fldChar w:fldCharType="separate"/>
      </w:r>
      <w:bookmarkStart w:id="70" w:name="DDECF0FE129DB5E0C4B77C2B50579BE9"/>
      <w:bookmarkEnd w:id="70"/>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5C0841D15E8E35453D86F703F7E95D16 "" </w:instrText>
      </w:r>
      <w:r>
        <w:rPr>
          <w:rFonts w:ascii="Arial" w:eastAsia="Arial" w:hAnsi="Arial" w:cs="Arial"/>
          <w:b w:val="0"/>
          <w:i w:val="0"/>
          <w:strike w:val="0"/>
          <w:color w:val="000000"/>
          <w:sz w:val="0"/>
          <w:u w:val="none"/>
          <w:vertAlign w:val="baseline"/>
          <w:lang w:val="fr-FR"/>
        </w:rPr>
        <w:fldChar w:fldCharType="separate"/>
      </w:r>
      <w:bookmarkStart w:id="71" w:name="5C0841D15E8E35453D86F703F7E95D16"/>
      <w:bookmarkEnd w:id="7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1 850 376,00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NORDEA BANK ABP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141 900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1 850 376,00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1 896 467,00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GALP ENERGIA SGPS SA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114 245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1 896 467,00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1 414 530,00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LOTUS BAKERIES</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1 414 530,00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2 735 937,30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MERCK KGAA</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16 253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1 760 199,90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ORION OYJ-CLASS B</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14 307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975 737,40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1 410 778,60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2,49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BILFINGER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15 932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1 410 778,60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377 767,67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RANDSTAD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9 353</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377 767,67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4 258 661,50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7,52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BAWAG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18 587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2 053 863,50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BOERSE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5 479</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1 378 516,40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EURONEXT NV</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5 856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826 281,60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3 040 523,91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ADIDAS AG</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8 675</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1 443 086,25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PUMA SE</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74 334</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1 597 437,66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5 956 766,38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10,52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5 956 766,38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10,52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102 510,85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ASSICURAZIONI GENERALI 4.125% 04/05/2026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102 510,85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100 994,02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STELLANTIS NV 2.75% 15-05-26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100 994,02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196 928,81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BNP PAR 1.125% 11-06-26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99 429,14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BPCE ISSUER 0.5% 24-02-27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97 499,67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194 081,52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CARLSBERG BREWERIES AS 3.25% 28-02-32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101 500,90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COCA-COLA EUROPEAN PARTN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92 580,62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104 151,03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CONTINENTAL 4.0% 01-06-28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104 151,03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Courrier, fret aérien et logistique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97 359,12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DSV AS 0.375% 26-02-27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97 359,12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bl>
    <w:p>
      <w:pPr>
        <w:sectPr>
          <w:headerReference w:type="default" r:id="rId29"/>
          <w:footerReference w:type="default" r:id="rId30"/>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288CDCA0122B18FDB013EC98C77692A0 "" </w:instrText>
      </w:r>
      <w:r>
        <w:rPr>
          <w:rFonts w:ascii="Arial" w:eastAsia="Arial" w:hAnsi="Arial" w:cs="Arial"/>
          <w:b w:val="0"/>
          <w:i w:val="0"/>
          <w:strike w:val="0"/>
          <w:color w:val="000000"/>
          <w:sz w:val="0"/>
          <w:u w:val="none"/>
          <w:vertAlign w:val="baseline"/>
          <w:lang w:val="fr-FR"/>
        </w:rPr>
        <w:fldChar w:fldCharType="separate"/>
      </w:r>
      <w:bookmarkStart w:id="72" w:name="288CDCA0122B18FDB013EC98C77692A0"/>
      <w:bookmarkEnd w:id="72"/>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6F61F2570828ADE7ED0D6D54B3DCADE7 "" </w:instrText>
      </w:r>
      <w:r>
        <w:rPr>
          <w:rFonts w:ascii="Arial" w:eastAsia="Arial" w:hAnsi="Arial" w:cs="Arial"/>
          <w:b w:val="0"/>
          <w:i w:val="0"/>
          <w:strike w:val="0"/>
          <w:color w:val="000000"/>
          <w:sz w:val="0"/>
          <w:u w:val="none"/>
          <w:vertAlign w:val="baseline"/>
          <w:lang w:val="fr-FR"/>
        </w:rPr>
        <w:fldChar w:fldCharType="separate"/>
      </w:r>
      <w:bookmarkStart w:id="73" w:name="6F61F2570828ADE7ED0D6D54B3DCADE7"/>
      <w:bookmarkEnd w:id="7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103 504,19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KONINKLIJKE AHOLD DELHAIZE NV 3.375% 11-03-31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103 504,19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201 170,06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STATNETT SF 3.5% 08-06-33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102 381,85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VATFAL 0 1/2 06/24/26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98 788,21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103 159,07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SCHNEIDER ELECTRIC SE 3.0% 10-01-31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103 159,07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205 014,54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MEDTRONIC GLOBAL HOLDINGS SCA 2.625% 15-10-25</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102 330,15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MEDTRONIC GLOBAL HOLDINGS SCA 3.125% 15-10-31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102 684,39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instruments électroniques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98 743,83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NIDEC 0.046% 30-03-26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98 743,83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206 257,16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MTU AERO ENGINES 3.875% 18-09-31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107 277,22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SAFFP 0 ? 03/16/26 Corp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98 979,94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197 214,66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ABERTIS INFRA 1.125% 26-03-28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96 857,27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SOCIETE DES AUTOROUTES PARIS RHIN RHONE 1.125% 09-01-26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100 357,39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100 519,96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EVONIK INDUSTRIES 0.625% 18-09-25</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100 519,96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206 469,01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CNH INDUSTRIAL NV 3.75% 11-06-31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103 059,58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SIEMENS FINANCIERINGSMAATNV 3.375% 24-08-31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103 409,43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105 428,01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ABN AMRO BK 3.875% 15-01-32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105 428,01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Papier et industrie du bois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102 151,12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STORA ENSO OYJ 4.0% 01-06-26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102 151,12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103 575,51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NESTE OYJ 3.875% 21-05-31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103 575,51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99 667,07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 MILLS 0.45% 15-01-26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99 667,07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102 944,91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LINDE PUBLIC LIMITED COMPANY 3.2% 14-02-31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102 944,91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99 388,59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LGATE 0.5% 06-03-26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99 388,59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bl>
    <w:p>
      <w:pPr>
        <w:sectPr>
          <w:headerReference w:type="default" r:id="rId31"/>
          <w:footerReference w:type="default" r:id="rId32"/>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366CD471FFDEAADF859C3E160641CE84 "" </w:instrText>
      </w:r>
      <w:r>
        <w:rPr>
          <w:rFonts w:ascii="Arial" w:eastAsia="Arial" w:hAnsi="Arial" w:cs="Arial"/>
          <w:b w:val="0"/>
          <w:i w:val="0"/>
          <w:strike w:val="0"/>
          <w:color w:val="000000"/>
          <w:sz w:val="0"/>
          <w:u w:val="none"/>
          <w:vertAlign w:val="baseline"/>
          <w:lang w:val="fr-FR"/>
        </w:rPr>
        <w:fldChar w:fldCharType="separate"/>
      </w:r>
      <w:bookmarkStart w:id="74" w:name="366CD471FFDEAADF859C3E160641CE84"/>
      <w:bookmarkEnd w:id="74"/>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80E1CA41C81043FB0545BE36AA3EA2F9 "" </w:instrText>
      </w:r>
      <w:r>
        <w:rPr>
          <w:rFonts w:ascii="Arial" w:eastAsia="Arial" w:hAnsi="Arial" w:cs="Arial"/>
          <w:b w:val="0"/>
          <w:i w:val="0"/>
          <w:strike w:val="0"/>
          <w:color w:val="000000"/>
          <w:sz w:val="0"/>
          <w:u w:val="none"/>
          <w:vertAlign w:val="baseline"/>
          <w:lang w:val="fr-FR"/>
        </w:rPr>
        <w:fldChar w:fldCharType="separate"/>
      </w:r>
      <w:bookmarkStart w:id="75" w:name="80E1CA41C81043FB0545BE36AA3EA2F9"/>
      <w:bookmarkEnd w:id="7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107 981,77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ASSA ABLOY AB 3.875% 13-09-30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107 981,77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93 416,76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INFINEON TECHNOLOGIES AG 2.0% 24-06-32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93 416,76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1 498 375,71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2,67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ITALY BUONI POLIENNALI DEL TESORO 2.1% 26-08-27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898 690,01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SPAIN GOVERNMENT BOND 1.45% 31-10-27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599 685,70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98 683,30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 POSTE 0.625% 21-10-26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98 683,30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104 491,91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4.75% 13-10-25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104 491,91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104 262,00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BRITISH TEL 3.75% 13-05-31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104 262,00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602 282,29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1,06</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FEDERATIVE DU CREDIT MUTUEL BFCM 0.75% 08-06-26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99 146,06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BRENNTAG FINANCE BV 3.875% 24-04-32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102 743,64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EURONEXT NV 0.125% 17-05-26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98 541,52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 CORPORATE BANK 0.6% 18-01-27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97 921,26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TOYOTA MOTOR FINANCE NETHERLANDS BV 3.125% 21-04-28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102 429,36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WENDEL 2.5% 09-02-27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101 500,45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207 930,70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THALES 0.25% 29-01-27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97 258,38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THALES SERVICES SAS 4.25% 18-10-31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110 672,32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102 988,34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KERING 3.25% 27-02-29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102 988,34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Transport maritime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100 574,68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AP MOELLER MAERSK AS 1.75% 16-03-26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100 574,68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Transport routier et ferroviaire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104 545,88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DAIMLER TRUCK INTL FINANCE BV 3.875% 19-06-29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104 545,88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0,18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2 926 478,44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5,17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2 029 991,77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2 029 991,77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AUREUS ISR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18,6</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2 029 991,77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896 486,67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896 486,67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MONETAIRE COURT TERME ISR CLIMAT Z-C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8,2</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896 486,67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1,58</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bl>
    <w:p>
      <w:pPr>
        <w:sectPr>
          <w:headerReference w:type="default" r:id="rId33"/>
          <w:footerReference w:type="default" r:id="rId34"/>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7F2D67A706EAED48346BA59EFBC621D1 "" </w:instrText>
      </w:r>
      <w:r>
        <w:rPr>
          <w:rFonts w:ascii="Arial" w:eastAsia="Arial" w:hAnsi="Arial" w:cs="Arial"/>
          <w:b w:val="0"/>
          <w:i w:val="0"/>
          <w:strike w:val="0"/>
          <w:color w:val="000000"/>
          <w:sz w:val="0"/>
          <w:u w:val="none"/>
          <w:vertAlign w:val="baseline"/>
          <w:lang w:val="fr-FR"/>
        </w:rPr>
        <w:fldChar w:fldCharType="separate"/>
      </w:r>
      <w:bookmarkStart w:id="76" w:name="7F2D67A706EAED48346BA59EFBC621D1"/>
      <w:bookmarkEnd w:id="76"/>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934801547B618DC03070FAFBD2A62A08 "" </w:instrText>
      </w:r>
      <w:r>
        <w:rPr>
          <w:rFonts w:ascii="Arial" w:eastAsia="Arial" w:hAnsi="Arial" w:cs="Arial"/>
          <w:b w:val="0"/>
          <w:i w:val="0"/>
          <w:strike w:val="0"/>
          <w:color w:val="000000"/>
          <w:sz w:val="0"/>
          <w:u w:val="none"/>
          <w:vertAlign w:val="baseline"/>
          <w:lang w:val="fr-FR"/>
        </w:rPr>
        <w:fldChar w:fldCharType="separate"/>
      </w:r>
      <w:bookmarkStart w:id="77" w:name="934801547B618DC03070FAFBD2A62A08"/>
      <w:bookmarkEnd w:id="7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56 167 669,01</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99,23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57DFB4F8886C8ED890629555DCD20AA3 "" </w:instrText>
      </w:r>
      <w:r>
        <w:rPr>
          <w:rFonts w:ascii="Arial" w:eastAsia="Arial" w:hAnsi="Arial" w:cs="Arial"/>
          <w:b w:val="0"/>
          <w:i w:val="0"/>
          <w:strike w:val="0"/>
          <w:color w:val="000000"/>
          <w:sz w:val="0"/>
          <w:u w:val="none"/>
          <w:vertAlign w:val="baseline"/>
          <w:lang w:val="fr-FR"/>
        </w:rPr>
        <w:fldChar w:fldCharType="separate"/>
      </w:r>
      <w:bookmarkStart w:id="78" w:name="57DFB4F8886C8ED890629555DCD20AA3"/>
      <w:bookmarkEnd w:id="78"/>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79" w:name="Inventaire des opérations à terme de dev"/>
      <w:bookmarkEnd w:id="79"/>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0" w:name="BK_C271C8EEB689153534D3CD97CCC8B94F"/>
      <w:bookmarkEnd w:id="80"/>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EA04234369751AB48C050AE30050B036 "" </w:instrText>
      </w:r>
      <w:r>
        <w:rPr>
          <w:rFonts w:ascii="Arial" w:eastAsia="Arial" w:hAnsi="Arial" w:cs="Arial"/>
          <w:b w:val="0"/>
          <w:i w:val="0"/>
          <w:strike w:val="0"/>
          <w:color w:val="000000"/>
          <w:sz w:val="0"/>
          <w:u w:val="none"/>
          <w:vertAlign w:val="baseline"/>
          <w:lang w:val="fr-FR"/>
        </w:rPr>
        <w:fldChar w:fldCharType="separate"/>
      </w:r>
      <w:bookmarkStart w:id="81" w:name="EA04234369751AB48C050AE30050B036"/>
      <w:bookmarkEnd w:id="8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5"/>
          <w:footerReference w:type="default" r:id="rId36"/>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44E55B29F8CB0CAC2842DC3708ED657B "" </w:instrText>
      </w:r>
      <w:r>
        <w:rPr>
          <w:rFonts w:ascii="Arial" w:eastAsia="Arial" w:hAnsi="Arial" w:cs="Arial"/>
          <w:b w:val="0"/>
          <w:i w:val="0"/>
          <w:strike w:val="0"/>
          <w:color w:val="000000"/>
          <w:sz w:val="0"/>
          <w:u w:val="none"/>
          <w:vertAlign w:val="baseline"/>
          <w:lang w:val="fr-FR"/>
        </w:rPr>
        <w:fldChar w:fldCharType="separate"/>
      </w:r>
      <w:bookmarkStart w:id="82" w:name="44E55B29F8CB0CAC2842DC3708ED657B"/>
      <w:bookmarkEnd w:id="82"/>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83" w:name="Inventaire des instruments financiers à "/>
      <w:bookmarkEnd w:id="83"/>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4" w:name="BK_3FE7834DDA19A5F7489E5CE0DC3E3989"/>
      <w:bookmarkEnd w:id="84"/>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76429D2B2FE89CCB0F40409CD8351032 "" </w:instrText>
      </w:r>
      <w:r>
        <w:rPr>
          <w:rFonts w:ascii="Arial" w:eastAsia="Arial" w:hAnsi="Arial" w:cs="Arial"/>
          <w:b w:val="0"/>
          <w:i w:val="0"/>
          <w:strike w:val="0"/>
          <w:color w:val="000000"/>
          <w:sz w:val="0"/>
          <w:u w:val="none"/>
          <w:vertAlign w:val="baseline"/>
          <w:lang w:val="fr-FR"/>
        </w:rPr>
        <w:fldChar w:fldCharType="separate"/>
      </w:r>
      <w:bookmarkStart w:id="85" w:name="76429D2B2FE89CCB0F40409CD8351032"/>
      <w:bookmarkEnd w:id="8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BD636FAB87F244E3ACBEC3F12C4BE453 "" </w:instrText>
      </w:r>
      <w:r>
        <w:rPr>
          <w:rFonts w:ascii="Arial" w:eastAsia="Arial" w:hAnsi="Arial" w:cs="Arial"/>
          <w:b w:val="0"/>
          <w:i w:val="0"/>
          <w:strike w:val="0"/>
          <w:color w:val="000000"/>
          <w:sz w:val="0"/>
          <w:u w:val="none"/>
          <w:vertAlign w:val="baseline"/>
          <w:lang w:val="fr-FR"/>
        </w:rPr>
        <w:fldChar w:fldCharType="separate"/>
      </w:r>
      <w:bookmarkStart w:id="86" w:name="BD636FAB87F244E3ACBEC3F12C4BE453"/>
      <w:bookmarkEnd w:id="86"/>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7" w:name="BK_0CCF3D50BE45166626D58EE3B669B62D"/>
      <w:bookmarkEnd w:id="87"/>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F6D770078B578A5251D39D7BE57DFFF8 "" </w:instrText>
      </w:r>
      <w:r>
        <w:rPr>
          <w:rFonts w:ascii="Arial" w:eastAsia="Arial" w:hAnsi="Arial" w:cs="Arial"/>
          <w:b w:val="0"/>
          <w:i w:val="0"/>
          <w:strike w:val="0"/>
          <w:color w:val="000000"/>
          <w:sz w:val="0"/>
          <w:u w:val="none"/>
          <w:vertAlign w:val="baseline"/>
          <w:lang w:val="fr-FR"/>
        </w:rPr>
        <w:fldChar w:fldCharType="separate"/>
      </w:r>
      <w:bookmarkStart w:id="88" w:name="F6D770078B578A5251D39D7BE57DFFF8"/>
      <w:bookmarkEnd w:id="8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BOFA 07-07-26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46 999 940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-208 818,93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46 999 940,00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-208 818,93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46 999 940,00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-208 818,93</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46 999 940,00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0A8DB951D6B4E939ABCA1B38BB42CD35 "" </w:instrText>
      </w:r>
      <w:r>
        <w:rPr>
          <w:rFonts w:ascii="Arial" w:eastAsia="Arial" w:hAnsi="Arial" w:cs="Arial"/>
          <w:b w:val="0"/>
          <w:i w:val="0"/>
          <w:strike w:val="0"/>
          <w:color w:val="000000"/>
          <w:sz w:val="0"/>
          <w:u w:val="none"/>
          <w:vertAlign w:val="baseline"/>
          <w:lang w:val="fr-FR"/>
        </w:rPr>
        <w:fldChar w:fldCharType="separate"/>
      </w:r>
      <w:bookmarkStart w:id="89" w:name="0A8DB951D6B4E939ABCA1B38BB42CD35"/>
      <w:bookmarkEnd w:id="89"/>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0" w:name="BK_7EB06620CCACE5184C21E20959188D1F"/>
      <w:bookmarkEnd w:id="90"/>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54C885C796D0B02D30A303841816507A "" </w:instrText>
      </w:r>
      <w:r>
        <w:rPr>
          <w:rFonts w:ascii="Arial" w:eastAsia="Arial" w:hAnsi="Arial" w:cs="Arial"/>
          <w:b w:val="0"/>
          <w:i w:val="0"/>
          <w:strike w:val="0"/>
          <w:color w:val="000000"/>
          <w:sz w:val="0"/>
          <w:u w:val="none"/>
          <w:vertAlign w:val="baseline"/>
          <w:lang w:val="fr-FR"/>
        </w:rPr>
        <w:fldChar w:fldCharType="separate"/>
      </w:r>
      <w:bookmarkStart w:id="91" w:name="54C885C796D0B02D30A303841816507A"/>
      <w:bookmarkEnd w:id="9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 SCHATZ 0925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-54 345,00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18 949 620,00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SHORT EUR-BTP 0925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-8 620,00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6 894 400,00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-62 965,00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25 844 020,00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-62 965,00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25 844 020,00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7"/>
          <w:footerReference w:type="default" r:id="rId38"/>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A7297EA8A843B8A6A17752C21D87314C "" </w:instrText>
      </w:r>
      <w:r>
        <w:rPr>
          <w:rFonts w:ascii="Arial" w:eastAsia="Arial" w:hAnsi="Arial" w:cs="Arial"/>
          <w:b w:val="0"/>
          <w:i w:val="0"/>
          <w:strike w:val="0"/>
          <w:color w:val="000000"/>
          <w:sz w:val="0"/>
          <w:u w:val="none"/>
          <w:vertAlign w:val="baseline"/>
          <w:lang w:val="fr-FR"/>
        </w:rPr>
        <w:fldChar w:fldCharType="separate"/>
      </w:r>
      <w:bookmarkStart w:id="92" w:name="A7297EA8A843B8A6A17752C21D87314C"/>
      <w:bookmarkEnd w:id="92"/>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3" w:name="BK_35EFD357CAB5D03B39935ACEFF9F1C44"/>
      <w:bookmarkEnd w:id="93"/>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A5C70CF7624BC85DDD72359CC622888B "" </w:instrText>
      </w:r>
      <w:r>
        <w:rPr>
          <w:rFonts w:ascii="Arial" w:eastAsia="Arial" w:hAnsi="Arial" w:cs="Arial"/>
          <w:b w:val="0"/>
          <w:i w:val="0"/>
          <w:strike w:val="0"/>
          <w:color w:val="000000"/>
          <w:sz w:val="0"/>
          <w:u w:val="none"/>
          <w:vertAlign w:val="baseline"/>
          <w:lang w:val="fr-FR"/>
        </w:rPr>
        <w:fldChar w:fldCharType="separate"/>
      </w:r>
      <w:bookmarkStart w:id="94" w:name="A5C70CF7624BC85DDD72359CC622888B"/>
      <w:bookmarkEnd w:id="9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F7A0A372B9505BE46FD99F616478506C "" </w:instrText>
      </w:r>
      <w:r>
        <w:rPr>
          <w:rFonts w:ascii="Arial" w:eastAsia="Arial" w:hAnsi="Arial" w:cs="Arial"/>
          <w:b w:val="0"/>
          <w:i w:val="0"/>
          <w:strike w:val="0"/>
          <w:color w:val="000000"/>
          <w:sz w:val="0"/>
          <w:u w:val="none"/>
          <w:vertAlign w:val="baseline"/>
          <w:lang w:val="fr-FR"/>
        </w:rPr>
        <w:fldChar w:fldCharType="separate"/>
      </w:r>
      <w:bookmarkStart w:id="95" w:name="F7A0A372B9505BE46FD99F616478506C"/>
      <w:bookmarkEnd w:id="95"/>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6" w:name="BK_EA55CB4062310CE49C2FA609891ECFCA"/>
      <w:bookmarkEnd w:id="96"/>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A8D9DF0BCDFD0FD0351ACD80CAC438B5 "" </w:instrText>
      </w:r>
      <w:r>
        <w:rPr>
          <w:rFonts w:ascii="Arial" w:eastAsia="Arial" w:hAnsi="Arial" w:cs="Arial"/>
          <w:b w:val="0"/>
          <w:i w:val="0"/>
          <w:strike w:val="0"/>
          <w:color w:val="000000"/>
          <w:sz w:val="0"/>
          <w:u w:val="none"/>
          <w:vertAlign w:val="baseline"/>
          <w:lang w:val="fr-FR"/>
        </w:rPr>
        <w:fldChar w:fldCharType="separate"/>
      </w:r>
      <w:bookmarkStart w:id="97" w:name="A8D9DF0BCDFD0FD0351ACD80CAC438B5"/>
      <w:bookmarkEnd w:id="9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ITRAXX EUROPE S42 3Y</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221 350,44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ITRAXX EUROPE S43 3Y</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66 456,73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ITRAXX EUROPE S43 3Y</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155 065,71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442 872,88</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20 000 000,00</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442 872,88</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20 000 000,00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9"/>
          <w:footerReference w:type="default" r:id="rId40"/>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0A4A4C6BC693E34AF834E5E35BDCD2E7 "" </w:instrText>
      </w:r>
      <w:r>
        <w:rPr>
          <w:rFonts w:ascii="Arial" w:eastAsia="Arial" w:hAnsi="Arial" w:cs="Arial"/>
          <w:b w:val="0"/>
          <w:i w:val="0"/>
          <w:strike w:val="0"/>
          <w:color w:val="000000"/>
          <w:sz w:val="0"/>
          <w:u w:val="none"/>
          <w:vertAlign w:val="baseline"/>
          <w:lang w:val="fr-FR"/>
        </w:rPr>
        <w:fldChar w:fldCharType="separate"/>
      </w:r>
      <w:bookmarkStart w:id="98" w:name="0A4A4C6BC693E34AF834E5E35BDCD2E7"/>
      <w:bookmarkEnd w:id="98"/>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99" w:name="BK_7BB7E4EAED723F8B680E5B6F522C62B9"/>
      <w:bookmarkEnd w:id="9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CEF856D65F26B2634BD10263593D0BC2 "" </w:instrText>
      </w:r>
      <w:r>
        <w:rPr>
          <w:rFonts w:ascii="Arial" w:eastAsia="Arial" w:hAnsi="Arial" w:cs="Arial"/>
          <w:b w:val="0"/>
          <w:i w:val="0"/>
          <w:strike w:val="0"/>
          <w:color w:val="000000"/>
          <w:sz w:val="0"/>
          <w:u w:val="none"/>
          <w:vertAlign w:val="baseline"/>
          <w:lang w:val="fr-FR"/>
        </w:rPr>
        <w:fldChar w:fldCharType="separate"/>
      </w:r>
      <w:bookmarkStart w:id="100" w:name="CEF856D65F26B2634BD10263593D0BC2"/>
      <w:bookmarkEnd w:id="10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0F9FF0547E818429F715D4FE14F56905 "" </w:instrText>
      </w:r>
      <w:r>
        <w:rPr>
          <w:rFonts w:ascii="Arial" w:eastAsia="Arial" w:hAnsi="Arial" w:cs="Arial"/>
          <w:b w:val="0"/>
          <w:i w:val="0"/>
          <w:strike w:val="0"/>
          <w:color w:val="000000"/>
          <w:sz w:val="0"/>
          <w:u w:val="none"/>
          <w:vertAlign w:val="baseline"/>
          <w:lang w:val="fr-FR"/>
        </w:rPr>
        <w:fldChar w:fldCharType="separate"/>
      </w:r>
      <w:bookmarkStart w:id="101" w:name="0F9FF0547E818429F715D4FE14F56905"/>
      <w:bookmarkEnd w:id="101"/>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02" w:name="BK_767E7A61112260BD3A36615A069EA1E8"/>
      <w:bookmarkEnd w:id="102"/>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1B3A2A98D38A6760F00D7A86AA80FE4E "" </w:instrText>
      </w:r>
      <w:r>
        <w:rPr>
          <w:rFonts w:ascii="Arial" w:eastAsia="Arial" w:hAnsi="Arial" w:cs="Arial"/>
          <w:b w:val="0"/>
          <w:i w:val="0"/>
          <w:strike w:val="0"/>
          <w:color w:val="000000"/>
          <w:sz w:val="0"/>
          <w:u w:val="none"/>
          <w:vertAlign w:val="baseline"/>
          <w:lang w:val="fr-FR"/>
        </w:rPr>
        <w:fldChar w:fldCharType="separate"/>
      </w:r>
      <w:bookmarkStart w:id="103" w:name="1B3A2A98D38A6760F00D7A86AA80FE4E"/>
      <w:bookmarkEnd w:id="103"/>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A34F53D52868B758037C050F14AFEA63 "" </w:instrText>
      </w:r>
      <w:r>
        <w:rPr>
          <w:rFonts w:ascii="Arial" w:eastAsia="Arial" w:hAnsi="Arial" w:cs="Arial"/>
          <w:b w:val="0"/>
          <w:i w:val="0"/>
          <w:strike w:val="0"/>
          <w:color w:val="000000"/>
          <w:sz w:val="0"/>
          <w:u w:val="none"/>
          <w:vertAlign w:val="baseline"/>
          <w:lang w:val="fr-FR"/>
        </w:rPr>
        <w:fldChar w:fldCharType="separate"/>
      </w:r>
      <w:bookmarkStart w:id="104" w:name="A34F53D52868B758037C050F14AFEA63"/>
      <w:bookmarkEnd w:id="104"/>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105" w:name="Synthèse de l’inventaire"/>
      <w:bookmarkEnd w:id="105"/>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06" w:name="BK_22038808FD5EFA8B055C6C27819604C2"/>
      <w:bookmarkEnd w:id="106"/>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290867705EE1DC834C7473C85C4F7504 "" </w:instrText>
      </w:r>
      <w:r>
        <w:rPr>
          <w:rFonts w:ascii="Arial" w:eastAsia="Arial" w:hAnsi="Arial" w:cs="Arial"/>
          <w:b w:val="0"/>
          <w:i w:val="0"/>
          <w:strike w:val="0"/>
          <w:color w:val="000000"/>
          <w:sz w:val="0"/>
          <w:u w:val="none"/>
          <w:vertAlign w:val="baseline"/>
          <w:lang w:val="fr-FR"/>
        </w:rPr>
        <w:fldChar w:fldCharType="separate"/>
      </w:r>
      <w:bookmarkStart w:id="107" w:name="290867705EE1DC834C7473C85C4F7504"/>
      <w:bookmarkEnd w:id="10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56 167 669,01</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-208 818,93</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-62 965,00</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442 872,88</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703 023,12</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-440 300,73</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56 601 480,35</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CAPITAL PEA I-C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1 803,8507</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10 693,40</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CAPITAL PEA P-C</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354 069,9151</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105,38</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41"/>
          <w:footerReference w:type="default" r:id="rId42"/>
          <w:pgSz w:w="11900" w:h="16840"/>
          <w:pgMar w:top="2154" w:right="1134" w:bottom="1134" w:left="1134" w:header="400" w:footer="400"/>
          <w:cols w:space="720"/>
        </w:sectPr>
      </w:pP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1999"/>
        <w:gridCol w:w="20"/>
        <w:gridCol w:w="999"/>
        <w:gridCol w:w="5041"/>
        <w:gridCol w:w="2999"/>
        <w:gridCol w:w="1681"/>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gridAfter w:val="2"/>
          <w:wAfter w:w="4680" w:type="dxa"/>
          <w:trHeight w:hRule="exact" w:val="45"/>
        </w:trPr>
        <w:tc>
          <w:tcPr>
            <w:tcW w:w="2000" w:type="dxa"/>
            <w:gridSpan w:val="2"/>
            <w:tcBorders>
              <w:right w:val="none" w:sz="0" w:space="0" w:color="auto"/>
            </w:tcBorders>
            <w:tcMar>
              <w:top w:w="0" w:type="dxa"/>
              <w:left w:w="0" w:type="dxa"/>
              <w:bottom w:w="0" w:type="dxa"/>
              <w:right w:w="0" w:type="dxa"/>
            </w:tcMar>
          </w:tcPr>
          <w:p>
            <w:pPr>
              <w:pBdr>
                <w:top w:val="none" w:sz="0" w:space="0" w:color="auto"/>
              </w:pBdr>
              <w:bidi w:val="0"/>
              <w:jc w:val="left"/>
              <w:rPr>
                <w:rFonts w:ascii="SansSerif" w:eastAsia="SansSerif" w:hAnsi="SansSerif" w:cs="SansSerif"/>
                <w:b w:val="0"/>
                <w:i w:val="0"/>
                <w:strike w:val="0"/>
                <w:color w:val="000000"/>
                <w:sz w:val="20"/>
                <w:u w:val="none"/>
                <w:vertAlign w:val="baseline"/>
                <w:lang w:val="fr-FR"/>
              </w:rPr>
            </w:pPr>
            <w:bookmarkStart w:id="108" w:name="BACKCOVER_START"/>
            <w:bookmarkEnd w:id="108"/>
          </w:p>
        </w:tc>
        <w:tc>
          <w:tcPr>
            <w:tcW w:w="1000" w:type="dxa"/>
            <w:gridSpan w:val="2"/>
            <w:tcMar>
              <w:top w:w="0" w:type="dxa"/>
              <w:left w:w="0" w:type="dxa"/>
              <w:bottom w:w="0" w:type="dxa"/>
              <w:right w:w="0" w:type="dxa"/>
            </w:tcMar>
          </w:tcPr>
          <w:p>
            <w:pPr>
              <w:rPr>
                <w:sz w:val="2"/>
              </w:rPr>
            </w:pPr>
          </w:p>
        </w:tc>
        <w:tc>
          <w:tcPr>
            <w:tcW w:w="50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gridAfter w:val="1"/>
          <w:wAfter w:w="360" w:type="dxa"/>
          <w:trHeight w:val="92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 w:type="dxa"/>
            <w:gridSpan w:val="2"/>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040" w:type="dxa"/>
            <w:gridSpan w:val="2"/>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gridAfter w:val="2"/>
          <w:wAfter w:w="4680" w:type="dxa"/>
          <w:trHeight w:val="164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040" w:type="dxa"/>
            <w:gridSpan w:val="4"/>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rPr>
                <w:sz w:val="2"/>
              </w:rPr>
            </w:pPr>
            <w:r>
              <w:drawing>
                <wp:inline distT="0" distB="0" distL="0" distR="0">
                  <wp:extent cx="1270000" cy="105462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tblPrEx>
          <w:tblW w:w="0" w:type="auto"/>
          <w:tblInd w:w="0" w:type="dxa"/>
          <w:tblLayout w:type="fixed"/>
          <w:tblCellMar>
            <w:left w:w="108" w:type="dxa"/>
            <w:right w:w="108" w:type="dxa"/>
          </w:tblCellMar>
        </w:tblPrEx>
        <w:trPr>
          <w:trHeight w:val="472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040"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pBdr>
          <w:top w:val="none" w:sz="0" w:space="0" w:color="auto"/>
          <w:bottom w:val="none" w:sz="0" w:space="0" w:color="auto"/>
        </w:pBdr>
        <w:bidi w:val="0"/>
        <w:spacing w:before="0"/>
        <w:ind w:left="3000" w:right="1300"/>
        <w:jc w:val="left"/>
        <w:rPr>
          <w:rFonts w:ascii="Arial" w:eastAsia="Arial" w:hAnsi="Arial" w:cs="Arial"/>
          <w:b/>
          <w:i w:val="0"/>
          <w:strike w:val="0"/>
          <w:color w:val="003C46"/>
          <w:sz w:val="24"/>
          <w:u w:val="none"/>
          <w:vertAlign w:val="baseline"/>
          <w:lang w:val="fr-FR"/>
        </w:rPr>
      </w:pPr>
      <w:r>
        <w:rPr>
          <w:rFonts w:ascii="Arial" w:eastAsia="Arial" w:hAnsi="Arial" w:cs="Arial"/>
          <w:b/>
          <w:i w:val="0"/>
          <w:strike w:val="0"/>
          <w:color w:val="003C46"/>
          <w:sz w:val="24"/>
          <w:u w:val="none"/>
          <w:vertAlign w:val="baseline"/>
          <w:lang w:val="fr-FR"/>
        </w:rPr>
        <w:t>BFT Investment Managers</w:t>
      </w:r>
    </w:p>
    <w:p>
      <w:pPr>
        <w:spacing w:after="15" w:line="240" w:lineRule="exact"/>
        <w:rPr>
          <w:sz w:val="24"/>
        </w:rPr>
      </w:pPr>
    </w:p>
    <w:p>
      <w:pPr>
        <w:pBdr>
          <w:top w:val="none" w:sz="0" w:space="0" w:color="auto"/>
          <w:bottom w:val="none" w:sz="0" w:space="0" w:color="auto"/>
        </w:pBdr>
        <w:bidi w:val="0"/>
        <w:spacing w:before="0" w:after="45"/>
        <w:ind w:left="3000" w:right="1300"/>
        <w:jc w:val="left"/>
        <w:rPr>
          <w:rFonts w:ascii="Arial" w:eastAsia="Arial" w:hAnsi="Arial" w:cs="Arial"/>
          <w:b w:val="0"/>
          <w:i w:val="0"/>
          <w:strike w:val="0"/>
          <w:color w:val="000000"/>
          <w:sz w:val="14"/>
          <w:u w:val="none"/>
          <w:vertAlign w:val="baseline"/>
          <w:lang w:val="fr-FR"/>
        </w:rPr>
      </w:pPr>
      <w:r>
        <w:rPr>
          <w:rFonts w:ascii="Arial" w:eastAsia="Arial" w:hAnsi="Arial" w:cs="Arial"/>
          <w:b w:val="0"/>
          <w:i w:val="0"/>
          <w:strike w:val="0"/>
          <w:color w:val="000000"/>
          <w:sz w:val="14"/>
          <w:u w:val="none"/>
          <w:vertAlign w:val="baseline"/>
          <w:lang w:val="fr-FR"/>
        </w:rPr>
        <w:t>Société Anonyme au capital de 1 600 000 euros</w:t>
      </w:r>
    </w:p>
    <w:p>
      <w:pPr>
        <w:pBdr>
          <w:top w:val="none" w:sz="0" w:space="0" w:color="auto"/>
          <w:bottom w:val="none" w:sz="0" w:space="0" w:color="auto"/>
        </w:pBdr>
        <w:bidi w:val="0"/>
        <w:spacing w:before="0" w:after="45"/>
        <w:ind w:left="3000" w:right="1300"/>
        <w:jc w:val="left"/>
        <w:rPr>
          <w:rFonts w:ascii="Arial" w:eastAsia="Arial" w:hAnsi="Arial" w:cs="Arial"/>
          <w:b w:val="0"/>
          <w:i w:val="0"/>
          <w:strike w:val="0"/>
          <w:color w:val="000000"/>
          <w:sz w:val="14"/>
          <w:u w:val="none"/>
          <w:vertAlign w:val="baseline"/>
          <w:lang w:val="fr-FR"/>
        </w:rPr>
      </w:pPr>
      <w:r>
        <w:rPr>
          <w:rFonts w:ascii="Arial" w:eastAsia="Arial" w:hAnsi="Arial" w:cs="Arial"/>
          <w:b w:val="0"/>
          <w:i w:val="0"/>
          <w:strike w:val="0"/>
          <w:color w:val="000000"/>
          <w:sz w:val="14"/>
          <w:u w:val="none"/>
          <w:vertAlign w:val="baseline"/>
          <w:lang w:val="fr-FR"/>
        </w:rPr>
        <w:t>Société de gestion de portefeuille agréée par l'AMF n°GP 98 026</w:t>
      </w:r>
    </w:p>
    <w:p>
      <w:pPr>
        <w:pBdr>
          <w:top w:val="none" w:sz="0" w:space="0" w:color="auto"/>
          <w:bottom w:val="none" w:sz="0" w:space="0" w:color="auto"/>
        </w:pBdr>
        <w:bidi w:val="0"/>
        <w:spacing w:before="0" w:after="45"/>
        <w:ind w:left="3000" w:right="1300"/>
        <w:jc w:val="left"/>
        <w:rPr>
          <w:rFonts w:ascii="Arial" w:eastAsia="Arial" w:hAnsi="Arial" w:cs="Arial"/>
          <w:b w:val="0"/>
          <w:i w:val="0"/>
          <w:strike w:val="0"/>
          <w:color w:val="000000"/>
          <w:sz w:val="14"/>
          <w:u w:val="none"/>
          <w:vertAlign w:val="baseline"/>
          <w:lang w:val="fr-FR"/>
        </w:rPr>
      </w:pPr>
      <w:r>
        <w:rPr>
          <w:rFonts w:ascii="Arial" w:eastAsia="Arial" w:hAnsi="Arial" w:cs="Arial"/>
          <w:b w:val="0"/>
          <w:i w:val="0"/>
          <w:strike w:val="0"/>
          <w:color w:val="000000"/>
          <w:sz w:val="14"/>
          <w:u w:val="none"/>
          <w:vertAlign w:val="baseline"/>
          <w:lang w:val="fr-FR"/>
        </w:rPr>
        <w:t>Siège Social : 91-93 boulevard Pasteur - 75015 Paris - France - 334 316 965 RCS Paris</w:t>
      </w: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line="240" w:lineRule="exact"/>
        <w:rPr>
          <w:sz w:val="24"/>
        </w:rPr>
      </w:pPr>
    </w:p>
    <w:p>
      <w:pPr>
        <w:spacing w:after="75" w:line="240" w:lineRule="exact"/>
        <w:rPr>
          <w:sz w:val="24"/>
        </w:rPr>
      </w:pPr>
    </w:p>
    <w:p>
      <w:pPr>
        <w:pBdr>
          <w:top w:val="none" w:sz="0" w:space="0" w:color="auto"/>
        </w:pBdr>
        <w:bidi w:val="0"/>
        <w:spacing w:before="0" w:after="0"/>
        <w:ind w:left="9880" w:right="20"/>
        <w:jc w:val="left"/>
        <w:rPr>
          <w:rFonts w:ascii="SansSerif" w:eastAsia="SansSerif" w:hAnsi="SansSerif" w:cs="SansSerif"/>
          <w:b w:val="0"/>
          <w:i w:val="0"/>
          <w:strike w:val="0"/>
          <w:color w:val="000000"/>
          <w:sz w:val="2"/>
          <w:u w:val="none"/>
          <w:vertAlign w:val="baseline"/>
          <w:lang w:val="fr-FR"/>
        </w:rPr>
      </w:pPr>
      <w:bookmarkStart w:id="109" w:name="BACKCOVER_END"/>
      <w:bookmarkEnd w:id="109"/>
    </w:p>
    <w:sectPr>
      <w:headerReference w:type="even" r:id="rId43"/>
      <w:headerReference w:type="default" r:id="rId44"/>
      <w:footerReference w:type="even" r:id="rId45"/>
      <w:footerReference w:type="default" r:id="rId46"/>
      <w:headerReference w:type="first" r:id="rId47"/>
      <w:footerReference w:type="first" r:id="rId48"/>
      <w:pgSz w:w="11900" w:h="16840"/>
      <w:pgMar w:top="0" w:right="0" w:bottom="0" w:left="0" w:header="0" w:foo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66BD9D3C-7322-42F8-BD7A-AC0F57AA6132}"/>
  </w:font>
  <w:font w:name="Arial">
    <w:panose1 w:val="020B0604020202020204"/>
    <w:charset w:val="CC"/>
    <w:family w:val="swiss"/>
    <w:pitch w:val="variable"/>
    <w:sig w:usb0="20007A87" w:usb1="80000000" w:usb2="00000008" w:usb3="00000000" w:csb0="000001FF" w:csb1="00000000"/>
    <w:embedRegular r:id="rId2" w:subsetted="1" w:fontKey="{BEE499C6-60FA-42FD-B8A5-1276A3790ABD}"/>
    <w:embedBold r:id="rId3" w:subsetted="1" w:fontKey="{ED3A46A3-9156-4FA0-B896-9DD271FE87D6}"/>
    <w:embedItalic r:id="rId4" w:subsetted="1" w:fontKey="{05C68998-EC7E-4A96-B959-1BEDB3724F16}"/>
  </w:font>
  <w:font w:name="SansSerif">
    <w:charset w:val="00"/>
    <w:family w:val="auto"/>
    <w:pitch w:val="default"/>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17</w:t>
          </w:r>
          <w:r>
            <w:rPr>
              <w:rFonts w:ascii="Arial" w:eastAsia="Arial" w:hAnsi="Arial" w:cs="Arial"/>
              <w:b w:val="0"/>
              <w:i w:val="0"/>
              <w:strike w:val="0"/>
              <w:color w:val="000000"/>
              <w:sz w:val="16"/>
              <w:u w:val="none"/>
              <w:vertAlign w:val="baseline"/>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18</w:t>
          </w:r>
          <w:r>
            <w:rPr>
              <w:rFonts w:ascii="Arial" w:eastAsia="Arial" w:hAnsi="Arial" w:cs="Arial"/>
              <w:b w:val="0"/>
              <w:i w:val="0"/>
              <w:strike w:val="0"/>
              <w:color w:val="000000"/>
              <w:sz w:val="16"/>
              <w:u w:val="none"/>
              <w:vertAlign w:val="baseline"/>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19</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232323"/>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29/08/2025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3C46"/>
        <w:sz w:val="44"/>
        <w:u w:val="none"/>
        <w:vertAlign w:val="baseline"/>
        <w:lang w:val="fr-FR"/>
      </w:rPr>
    </w:pPr>
    <w:r>
      <w:rPr>
        <w:rFonts w:ascii="Arial" w:eastAsia="Arial" w:hAnsi="Arial" w:cs="Arial"/>
        <w:b/>
        <w:i w:val="0"/>
        <w:strike w:val="0"/>
        <w:color w:val="003C46"/>
        <w:sz w:val="44"/>
        <w:u w:val="none"/>
        <w:vertAlign w:val="baseline"/>
        <w:lang w:val="fr-FR"/>
      </w:rPr>
      <w:t>OPCVM BFT CAPITAL PEA</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92A59"/>
    <w:rsid w:val="001B1EB4"/>
    <w:rsid w:val="002824CB"/>
    <w:rsid w:val="0030702B"/>
    <w:rsid w:val="003A565B"/>
    <w:rsid w:val="0042331D"/>
    <w:rsid w:val="005223D0"/>
    <w:rsid w:val="00777047"/>
    <w:rsid w:val="00CD0EFB"/>
    <w:rsid w:val="00F06021"/>
    <w:rsid w:val="00F06268"/>
    <w:rsid w:val="00F82154"/>
    <w:rsid w:val="00FA2962"/>
    <w:rsid w:val="00FC0743"/>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100" w:line="240" w:lineRule="auto"/>
      <w:ind w:left="0" w:right="-70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10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line="240" w:lineRule="auto"/>
      <w:ind w:left="0" w:right="0" w:firstLine="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line="240" w:lineRule="auto"/>
      <w:ind w:left="0" w:right="0" w:firstLine="0"/>
      <w:jc w:val="both"/>
      <w:outlineLvl w:val="8"/>
    </w:pPr>
    <w:rPr>
      <w:rFonts w:ascii="Arial" w:eastAsia="Arial" w:hAnsi="Arial" w:cs="Arial"/>
      <w:b/>
      <w:color w:val="232323"/>
      <w:sz w:val="3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PropertyName">
    <w:name w:val="CoverPropertyName"/>
    <w:basedOn w:val="SimpleStyle"/>
    <w:qFormat/>
    <w:pPr>
      <w:spacing w:before="0" w:after="0" w:line="240" w:lineRule="auto"/>
      <w:ind w:left="0" w:right="0" w:firstLine="0"/>
      <w:jc w:val="left"/>
    </w:pPr>
    <w:rPr>
      <w:rFonts w:ascii="Arial" w:eastAsia="Arial" w:hAnsi="Arial" w:cs="Arial"/>
      <w:b w:val="0"/>
      <w:color w:val="000000"/>
      <w:sz w:val="1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232323"/>
      <w:sz w:val="16"/>
    </w:rPr>
  </w:style>
  <w:style w:type="paragraph" w:customStyle="1" w:styleId="HeaderTitle">
    <w:name w:val="HeaderTitle"/>
    <w:basedOn w:val="SimpleStyle"/>
    <w:qFormat/>
    <w:pPr>
      <w:spacing w:before="0" w:after="0" w:line="240" w:lineRule="auto"/>
      <w:ind w:left="-180" w:right="-580" w:firstLine="0"/>
      <w:jc w:val="left"/>
    </w:pPr>
    <w:rPr>
      <w:rFonts w:ascii="Arial" w:eastAsia="Arial" w:hAnsi="Arial" w:cs="Arial"/>
      <w:b/>
      <w:color w:val="003C46"/>
      <w:sz w:val="44"/>
    </w:rPr>
  </w:style>
  <w:style w:type="paragraph" w:customStyle="1" w:styleId="HeaderTitle2">
    <w:name w:val="HeaderTitle2"/>
    <w:basedOn w:val="SimpleStyle"/>
    <w:qFormat/>
    <w:pPr>
      <w:spacing w:before="0" w:after="0" w:line="240" w:lineRule="auto"/>
      <w:ind w:left="-180" w:right="-580" w:firstLine="0"/>
      <w:jc w:val="left"/>
    </w:pPr>
    <w:rPr>
      <w:rFonts w:ascii="Arial" w:eastAsia="Arial" w:hAnsi="Arial" w:cs="Arial"/>
      <w:b w:val="0"/>
      <w:color w:val="003C46"/>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5"/>
    </w:rPr>
  </w:style>
  <w:style w:type="paragraph" w:customStyle="1" w:styleId="H6">
    <w:name w:val="H6"/>
    <w:basedOn w:val="SimpleStyle"/>
    <w:qFormat/>
    <w:pPr>
      <w:spacing w:before="0" w:after="100" w:line="240" w:lineRule="auto"/>
      <w:ind w:left="0" w:right="0" w:firstLine="0"/>
      <w:jc w:val="both"/>
    </w:pPr>
    <w:rPr>
      <w:rFonts w:ascii="Arial" w:eastAsia="Arial" w:hAnsi="Arial" w:cs="Arial"/>
      <w:b/>
      <w:color w:val="232323"/>
      <w:sz w:val="32"/>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200" w:after="0" w:line="240" w:lineRule="auto"/>
      <w:ind w:left="0" w:right="0" w:firstLine="0"/>
      <w:jc w:val="both"/>
    </w:pPr>
    <w:rPr>
      <w:rFonts w:ascii="Arial" w:eastAsia="Arial" w:hAnsi="Arial" w:cs="Arial"/>
      <w:b w:val="0"/>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TextBold">
    <w:name w:val="TextBold"/>
    <w:basedOn w:val="SimpleStyle"/>
    <w:qFormat/>
    <w:pPr>
      <w:spacing w:before="0" w:after="0" w:line="300" w:lineRule="atLeast"/>
      <w:ind w:left="0" w:right="0" w:firstLine="0"/>
      <w:jc w:val="both"/>
    </w:pPr>
    <w:rPr>
      <w:rFonts w:ascii="Arial" w:eastAsia="Arial" w:hAnsi="Arial" w:cs="Arial"/>
      <w:b/>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CoverPropertyValue">
    <w:name w:val="CoverPropertyValue"/>
    <w:basedOn w:val="CoverPropertyName"/>
    <w:qFormat/>
    <w:pPr>
      <w:spacing w:before="0" w:after="0" w:line="240" w:lineRule="auto"/>
      <w:ind w:left="0" w:right="0" w:firstLine="0"/>
      <w:jc w:val="left"/>
    </w:pPr>
    <w:rPr>
      <w:rFonts w:ascii="Arial" w:eastAsia="Arial" w:hAnsi="Arial" w:cs="Arial"/>
      <w:b w:val="0"/>
      <w:color w:val="000000"/>
      <w:sz w:val="18"/>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232323"/>
      <w:sz w:val="16"/>
    </w:rPr>
  </w:style>
  <w:style w:type="paragraph" w:customStyle="1" w:styleId="H1SPACEBEFORE">
    <w:name w:val="H1_SPACE_BEFORE"/>
    <w:basedOn w:val="H1"/>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L8">
    <w:name w:val="L8"/>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L9">
    <w:name w:val="L9"/>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H8">
    <w:name w:val="H8"/>
    <w:basedOn w:val="H5"/>
    <w:qFormat/>
    <w:pPr>
      <w:spacing w:before="0" w:after="160" w:line="240" w:lineRule="auto"/>
      <w:ind w:left="0" w:right="0" w:firstLine="0"/>
      <w:jc w:val="both"/>
    </w:pPr>
    <w:rPr>
      <w:rFonts w:ascii="Arial" w:eastAsia="Arial" w:hAnsi="Arial" w:cs="Arial"/>
      <w:b/>
      <w:color w:val="232323"/>
      <w:sz w:val="35"/>
    </w:rPr>
  </w:style>
  <w:style w:type="paragraph" w:customStyle="1" w:styleId="H9">
    <w:name w:val="H9"/>
    <w:basedOn w:val="H5"/>
    <w:qFormat/>
    <w:pPr>
      <w:spacing w:before="0" w:after="160" w:line="240" w:lineRule="auto"/>
      <w:ind w:left="0" w:right="0" w:firstLine="0"/>
      <w:jc w:val="both"/>
    </w:pPr>
    <w:rPr>
      <w:rFonts w:ascii="Arial" w:eastAsia="Arial" w:hAnsi="Arial" w:cs="Arial"/>
      <w:b/>
      <w:color w:val="232323"/>
      <w:sz w:val="35"/>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BordureNonGras">
    <w:name w:val="TotalTab Middle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otalTabLastColBordureNonGras">
    <w:name w:val="TotalTab LastCol Bordure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ab1MiddleColBordure">
    <w:name w:val="Tab1 MiddleCol Bordure"/>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MiddleColNonGrasBordureUp">
    <w:name w:val="Tab1 MiddleCol NonGras BordureUp"/>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otalTabMiddleColNoBordureUpNonGras">
    <w:name w:val="TotalTab MiddleCol NoBordureUp NonGras"/>
    <w:basedOn w:val="SimpleStyleTableau"/>
    <w:qFormat/>
    <w:pPr>
      <w:spacing w:before="0" w:after="0" w:line="240" w:lineRule="auto"/>
      <w:ind w:left="0" w:right="100" w:firstLine="0"/>
      <w:jc w:val="right"/>
    </w:pPr>
    <w:rPr>
      <w:rFonts w:ascii="Arial" w:eastAsia="Arial" w:hAnsi="Arial" w:cs="Arial"/>
      <w:b w:val="0"/>
      <w:color w:val="232323"/>
      <w:sz w:val="16"/>
    </w:rPr>
  </w:style>
  <w:style w:type="paragraph" w:customStyle="1" w:styleId="TotalTabFirstColBordureNoColor">
    <w:name w:val="TotalTab FirstCol Bordure NoColor"/>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ab1LastColNonGrasBordureUp">
    <w:name w:val="Tab1 LastCol NonGras BordureUp"/>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otalTabFirstColBordureNonGras">
    <w:name w:val="TotalTab FirstCol Bordure NonGras"/>
    <w:basedOn w:val="SimpleStyleTableau"/>
    <w:qFormat/>
    <w:pPr>
      <w:spacing w:before="0" w:after="0" w:line="240" w:lineRule="auto"/>
      <w:ind w:left="100" w:right="100" w:firstLine="0"/>
      <w:jc w:val="both"/>
    </w:pPr>
    <w:rPr>
      <w:rFonts w:ascii="Arial" w:eastAsia="Arial" w:hAnsi="Arial" w:cs="Arial"/>
      <w:b w:val="0"/>
      <w:color w:val="000000"/>
      <w:sz w:val="16"/>
    </w:rPr>
  </w:style>
  <w:style w:type="paragraph" w:customStyle="1" w:styleId="TotalTabMiddleColBordureNoColor">
    <w:name w:val="TotalTab MiddleCol Bordure NoColor"/>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NoColor">
    <w:name w:val="TotalTab LastCol Bordure NoColor"/>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MiddleColNonGrasCentre">
    <w:name w:val="Tab1 MiddleCol NonGras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customStyle="1" w:styleId="H2SPACEBEFORE">
    <w:name w:val="H2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3SPACEBEFORE">
    <w:name w:val="H3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4SPACEBEFORE">
    <w:name w:val="H4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5SPACEBEFORE">
    <w:name w:val="H5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NormalNoContent">
    <w:name w:val="Normal NoContent"/>
    <w:next w:val="Normal"/>
    <w:qFormat/>
    <w:rPr>
      <w:sz w:val="2"/>
      <w:szCs w:val="24"/>
    </w:rPr>
  </w:style>
  <w:style w:type="paragraph" w:customStyle="1" w:styleId="SimpleStyleNoContent">
    <w:name w:val="SimpleStyle NoContent"/>
    <w:qFormat/>
    <w:pPr>
      <w:jc w:val="both"/>
    </w:pPr>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otalTabFirstColBordureNoColorNoContent">
    <w:name w:val="TotalTab FirstCol Bordure NoColor NoContent"/>
    <w:qFormat/>
    <w:pPr>
      <w:ind w:left="100" w:right="100"/>
      <w:jc w:val="both"/>
    </w:pPr>
    <w:rPr>
      <w:rFonts w:ascii="Arial" w:eastAsia="Arial" w:hAnsi="Arial" w:cs="Arial"/>
      <w:b/>
      <w:color w:val="000000"/>
      <w:sz w:val="2"/>
    </w:rPr>
  </w:style>
  <w:style w:type="paragraph" w:customStyle="1" w:styleId="EnteteTabMiddleColBordureNoContent">
    <w:name w:val="EnteteTab MiddleCol Bordure NoContent"/>
    <w:qFormat/>
    <w:pPr>
      <w:jc w:val="center"/>
    </w:pPr>
    <w:rPr>
      <w:rFonts w:ascii="Arial" w:eastAsia="Arial" w:hAnsi="Arial" w:cs="Arial"/>
      <w:b/>
      <w:color w:val="232323"/>
      <w:sz w:val="2"/>
    </w:rPr>
  </w:style>
  <w:style w:type="paragraph" w:customStyle="1" w:styleId="Tab1FirstColNonGrasBordureDownNoContent">
    <w:name w:val="Tab1 FirstCol NonGras BordureDown NoContent"/>
    <w:qFormat/>
    <w:pPr>
      <w:ind w:left="100" w:right="100"/>
      <w:jc w:val="both"/>
    </w:pPr>
    <w:rPr>
      <w:rFonts w:ascii="Arial" w:eastAsia="Arial" w:hAnsi="Arial" w:cs="Arial"/>
      <w:color w:val="232323"/>
      <w:sz w:val="2"/>
    </w:rPr>
  </w:style>
  <w:style w:type="paragraph" w:customStyle="1" w:styleId="EnteteTabLastColBordureNoContent">
    <w:name w:val="EnteteTab LastCol Bordure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ab1MiddleColBordureNoContent">
    <w:name w:val="Tab1 MiddleCol Bordure NoContent"/>
    <w:qFormat/>
    <w:pPr>
      <w:jc w:val="right"/>
    </w:pPr>
    <w:rPr>
      <w:rFonts w:ascii="Arial" w:eastAsia="Arial" w:hAnsi="Arial" w:cs="Arial"/>
      <w:color w:val="232323"/>
      <w:sz w:val="2"/>
    </w:rPr>
  </w:style>
  <w:style w:type="paragraph" w:customStyle="1" w:styleId="TotalTabMiddleColBordureNoColorNoContent">
    <w:name w:val="TotalTab MiddleCol Bordure NoColor NoContent"/>
    <w:qFormat/>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image" Target="media/image1.jpe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header" Target="header21.xml" /><Relationship Id="rId45" Type="http://schemas.openxmlformats.org/officeDocument/2006/relationships/footer" Target="footer20.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theme" Target="theme/theme1.xml" /><Relationship Id="rId5" Type="http://schemas.openxmlformats.org/officeDocument/2006/relationships/header" Target="header1.xml" /><Relationship Id="rId50"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20</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