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985D" w14:textId="77777777" w:rsidR="008B40A5" w:rsidRPr="00D03AAD" w:rsidRDefault="002C1937" w:rsidP="00ED79AF">
      <w:pPr>
        <w:jc w:val="center"/>
        <w:rPr>
          <w:rFonts w:cstheme="minorHAnsi"/>
          <w:b/>
          <w:bCs/>
          <w:color w:val="FF0000"/>
          <w:sz w:val="24"/>
          <w:szCs w:val="24"/>
        </w:rPr>
      </w:pPr>
      <w:r>
        <w:rPr>
          <w:rFonts w:cstheme="minorHAnsi"/>
          <w:b/>
          <w:bCs/>
          <w:color w:val="FF0000"/>
          <w:sz w:val="24"/>
          <w:szCs w:val="24"/>
          <w:lang w:val="el"/>
        </w:rPr>
        <w:t xml:space="preserve">Διαδικτυακές γνωστοποιήσεις προϊόντων συμπληρωματικώς του άρθρου 10 παράγραφος 1 του κανονισμού περί γνωστοποιήσεων αειφορίας στον τομέα των χρηματοπιστωτικών υπηρεσιών για το άρθρο 8 Υποκεφάλαια </w:t>
      </w:r>
    </w:p>
    <w:p w14:paraId="5E70ED2B" w14:textId="77777777" w:rsidR="008B40A5" w:rsidRPr="00D03AAD" w:rsidRDefault="002C1937" w:rsidP="00ED79AF">
      <w:pPr>
        <w:jc w:val="center"/>
        <w:rPr>
          <w:b/>
          <w:color w:val="FF0000"/>
          <w:sz w:val="24"/>
          <w:szCs w:val="24"/>
        </w:rPr>
      </w:pPr>
      <w:r>
        <w:rPr>
          <w:b/>
          <w:bCs/>
          <w:color w:val="FF0000"/>
          <w:sz w:val="24"/>
          <w:szCs w:val="24"/>
          <w:lang w:val="el"/>
        </w:rPr>
        <w:t>ΣΥΝΟΨΗ</w:t>
      </w:r>
    </w:p>
    <w:p w14:paraId="7207B8A6" w14:textId="2D43B8A9" w:rsidR="001B13EB" w:rsidRDefault="001B13EB" w:rsidP="00ED79AF"/>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C70481" w14:paraId="3A58E765" w14:textId="77777777" w:rsidTr="00ED79AF">
        <w:tc>
          <w:tcPr>
            <w:tcW w:w="4962" w:type="dxa"/>
          </w:tcPr>
          <w:p w14:paraId="3E33FD6D" w14:textId="77777777" w:rsidR="002C1937" w:rsidRDefault="002C1937" w:rsidP="00ED79AF">
            <w:pPr>
              <w:jc w:val="both"/>
            </w:pPr>
            <w:r>
              <w:rPr>
                <w:b/>
                <w:bCs/>
                <w:lang w:val="el"/>
              </w:rPr>
              <w:t>Ονομασία Προϊόντος</w:t>
            </w:r>
            <w:r>
              <w:rPr>
                <w:lang w:val="el"/>
              </w:rPr>
              <w:t xml:space="preserve">: </w:t>
            </w:r>
          </w:p>
          <w:p w14:paraId="3A4A049C" w14:textId="12396067" w:rsidR="005E1D0B" w:rsidRPr="005E1D0B" w:rsidRDefault="002C1937" w:rsidP="00ED79AF">
            <w:pPr>
              <w:jc w:val="both"/>
            </w:pPr>
            <w:r>
              <w:rPr>
                <w:lang w:val="el"/>
              </w:rPr>
              <w:t>CPR INVEST - GLOBAL DISRUPTIVE OPPORTUNITIES</w:t>
            </w:r>
          </w:p>
        </w:tc>
        <w:tc>
          <w:tcPr>
            <w:tcW w:w="4394" w:type="dxa"/>
          </w:tcPr>
          <w:p w14:paraId="654F9555" w14:textId="77777777" w:rsidR="002C1937" w:rsidRDefault="002C1937" w:rsidP="00ED79AF">
            <w:r>
              <w:rPr>
                <w:b/>
                <w:bCs/>
                <w:lang w:val="el"/>
              </w:rPr>
              <w:t>Αναγνωριστικός κωδικός νομικής οντότητας</w:t>
            </w:r>
            <w:r>
              <w:rPr>
                <w:lang w:val="el"/>
              </w:rPr>
              <w:t xml:space="preserve">: </w:t>
            </w:r>
          </w:p>
          <w:p w14:paraId="449F9D0D" w14:textId="1D1FBAD7" w:rsidR="005E1D0B" w:rsidRPr="005E1D0B" w:rsidRDefault="002C1937" w:rsidP="00ED79AF">
            <w:r>
              <w:rPr>
                <w:lang w:val="el"/>
              </w:rPr>
              <w:t>222100LU67GQT03SEE74</w:t>
            </w:r>
          </w:p>
        </w:tc>
      </w:tr>
    </w:tbl>
    <w:p w14:paraId="69DD299F" w14:textId="77777777" w:rsidR="00252E7E" w:rsidRPr="005E1D0B" w:rsidRDefault="00252E7E" w:rsidP="00C15A78">
      <w:pPr>
        <w:pStyle w:val="Heading2"/>
        <w:ind w:left="-851" w:right="-851"/>
        <w:jc w:val="both"/>
      </w:pPr>
    </w:p>
    <w:p w14:paraId="6B980FDB" w14:textId="44844A26" w:rsidR="00CB6D7C" w:rsidRDefault="00CB6D7C" w:rsidP="00C15A78">
      <w:pPr>
        <w:ind w:left="-851" w:right="-851"/>
        <w:jc w:val="both"/>
      </w:pPr>
    </w:p>
    <w:p w14:paraId="221D7E94" w14:textId="32AB1DAC" w:rsidR="00660D2A" w:rsidRDefault="002C1937" w:rsidP="00660D2A">
      <w:pPr>
        <w:pStyle w:val="Heading2"/>
        <w:jc w:val="both"/>
        <w:rPr>
          <w:b/>
          <w:color w:val="auto"/>
        </w:rPr>
      </w:pPr>
      <w:r>
        <w:rPr>
          <w:b/>
          <w:bCs/>
          <w:color w:val="auto"/>
          <w:lang w:val="el"/>
        </w:rPr>
        <w:t>Δεν υπάρχει στόχος αειφόρων επενδύσεων</w:t>
      </w:r>
    </w:p>
    <w:p w14:paraId="699E0DF9" w14:textId="77777777" w:rsidR="00660D2A" w:rsidRPr="00660D2A" w:rsidRDefault="00660D2A" w:rsidP="00660D2A"/>
    <w:p w14:paraId="4263D541" w14:textId="6F8AF607" w:rsidR="00660D2A" w:rsidRDefault="002C1937" w:rsidP="00660D2A">
      <w:pPr>
        <w:jc w:val="both"/>
      </w:pPr>
      <w:r>
        <w:rPr>
          <w:lang w:val="el"/>
        </w:rPr>
        <w:t>Αυτό το χρηματοπιστωτικό προϊόν προωθεί τα περιβαλλοντικά ή κοινωνικά χαρακτηριστικά, χωρίς όμως να έχει ως στόχο του τις αειφόρους επενδύσεις.</w:t>
      </w:r>
    </w:p>
    <w:p w14:paraId="25A15EC7" w14:textId="77777777" w:rsidR="00660D2A" w:rsidRDefault="00660D2A" w:rsidP="00660D2A">
      <w:pPr>
        <w:jc w:val="both"/>
      </w:pPr>
    </w:p>
    <w:p w14:paraId="1AF35F3C" w14:textId="41AE1DCF" w:rsidR="00660D2A" w:rsidRDefault="002C1937" w:rsidP="00660D2A">
      <w:pPr>
        <w:pStyle w:val="Heading2"/>
        <w:jc w:val="both"/>
        <w:rPr>
          <w:b/>
          <w:color w:val="auto"/>
        </w:rPr>
      </w:pPr>
      <w:r>
        <w:rPr>
          <w:b/>
          <w:bCs/>
          <w:color w:val="auto"/>
          <w:lang w:val="el"/>
        </w:rPr>
        <w:t>Περιβαλλοντικά ή κοινωνικά χαρακτηριστικά του χρηματοπιστωτικού προϊόντος</w:t>
      </w:r>
    </w:p>
    <w:p w14:paraId="4FBA6710" w14:textId="77777777" w:rsidR="00660D2A" w:rsidRPr="00660D2A" w:rsidRDefault="00660D2A" w:rsidP="00660D2A"/>
    <w:p w14:paraId="58418D74" w14:textId="67842AF1" w:rsidR="002C1937" w:rsidRDefault="002C1937" w:rsidP="00660D2A">
      <w:pPr>
        <w:jc w:val="both"/>
      </w:pPr>
      <w:r>
        <w:rPr>
          <w:lang w:val="el"/>
        </w:rPr>
        <w:t xml:space="preserve">Το Τμήμα προωθεί περιβαλλοντικά και/ή κοινωνικά χαρακτηριστικά με στόχο την επίτευξη υψηλότερης βαθμολογίας ESG από τη βαθμολογία ESG του MSCI World Net Return Index (ο «Δείκτης Αναφοράς»). </w:t>
      </w:r>
    </w:p>
    <w:p w14:paraId="2AE703FB" w14:textId="54705D34" w:rsidR="005E1D0B" w:rsidRDefault="002C1937" w:rsidP="00660D2A">
      <w:pPr>
        <w:jc w:val="both"/>
      </w:pPr>
      <w:r>
        <w:rPr>
          <w:lang w:val="el"/>
        </w:rPr>
        <w:t>Κατά τον προσδιορισμό της βαθμολογίας ESG του Τμήματος και του Δείκτη Αναφοράς, η απόδοση ESG αξιολογείται συγκρίνοντας τον μέσο όρο απόδοσης ενός τίτλου με τον κλάδο του εκδότη του τίτλου, σε σχέση με καθένα από τα τρία ESG χαρακτηριστικά όσον αφορά το περιβάλλον, την κοινωνία και τη διακυβέρνηση. Ο Δείκτης Αναφοράς είναι ένας ευρύς δείκτης της αγοράς, ο οποίος δεν αξιολογεί ούτε περιλαμβάνει συνιστώσες ανάλογα με τα περιβαλλοντικά και/ή κοινωνικά χαρακτηριστικά και, επομένως, δεν προορίζεται να είναι σύμφωνος με τα χαρακτηριστικά που προωθούνται από το Τμήμα. Δεν έχει οριστεί δείκτης αναφοράς ESG.</w:t>
      </w:r>
    </w:p>
    <w:p w14:paraId="45E23E26" w14:textId="1377012A" w:rsidR="00660D2A" w:rsidRDefault="00660D2A" w:rsidP="00660D2A">
      <w:pPr>
        <w:jc w:val="both"/>
      </w:pPr>
    </w:p>
    <w:p w14:paraId="7DBA6510" w14:textId="24F0387B" w:rsidR="00660D2A" w:rsidRDefault="002C1937" w:rsidP="00660D2A">
      <w:pPr>
        <w:pStyle w:val="Heading2"/>
        <w:jc w:val="both"/>
        <w:rPr>
          <w:b/>
          <w:color w:val="auto"/>
        </w:rPr>
      </w:pPr>
      <w:r>
        <w:rPr>
          <w:b/>
          <w:bCs/>
          <w:color w:val="auto"/>
          <w:lang w:val="el"/>
        </w:rPr>
        <w:t>Ποσοστό επενδύσεων</w:t>
      </w:r>
    </w:p>
    <w:p w14:paraId="5AE8D88A" w14:textId="0570C1A7" w:rsidR="002C1937" w:rsidRDefault="002C1937" w:rsidP="00CA0CA1">
      <w:pPr>
        <w:spacing w:after="0"/>
        <w:jc w:val="both"/>
      </w:pPr>
      <w:r>
        <w:rPr>
          <w:lang w:val="el"/>
        </w:rPr>
        <w:cr/>
        <w:t xml:space="preserve">Τουλάχιστον το 75% των τίτλων και μέσων του Τμήματος θα χρησιμοποιηθεί για την επίτευξη των προωθούμενων περιβαλλοντικών ή κοινωνικών χαρακτηριστικών σύμφωνα με τα δεσμευτικά στοιχεία της επενδυτικής στρατηγικής του Τμήματος. </w:t>
      </w:r>
    </w:p>
    <w:p w14:paraId="5ED61726" w14:textId="77777777" w:rsidR="00CA0CA1" w:rsidRDefault="00CA0CA1" w:rsidP="00CA0CA1">
      <w:pPr>
        <w:spacing w:after="0"/>
        <w:jc w:val="both"/>
      </w:pPr>
    </w:p>
    <w:p w14:paraId="0B509AAC" w14:textId="3E5F0881" w:rsidR="005E1D0B" w:rsidRDefault="002C1937" w:rsidP="00CA0CA1">
      <w:pPr>
        <w:spacing w:after="0"/>
        <w:jc w:val="both"/>
      </w:pPr>
      <w:r>
        <w:rPr>
          <w:lang w:val="el"/>
        </w:rPr>
        <w:t>Επιπλέον, το Τμήμα δεσμεύεται να διατηρεί ποσοστό αειφόρων επενδύσεων τουλάχιστον 10% σύμφωνα με το παρακάτω διάγραμμα. Οι επενδύσεις που ευθυγραμμίζονται με άλλα χαρακτηριστικά Π/Κ θα αντιπροσωπεύουν τη διαφορά μεταξύ του πραγματικού ποσοστού των επενδύσεων που ευθυγραμμίζονται με τα περιβαλλοντικά ή κοινωνικά χαρακτηριστικά και του πραγματικού ποσοστού των βιώσιμων επενδύσεων. Η προβλεπόμενη αναλογία των άλλων περιβαλλοντικών επενδύσεων αντιπροσωπεύει τουλάχιστον το 10% και μπορεί να μεταβληθεί καθώς τα πραγματικά ποσοστά των επενδύσεων που είναι ευθυγραμμισμένες με την ταξινομία και/ή των κοινωνικών επενδύσεων αυξάνονται.</w:t>
      </w:r>
    </w:p>
    <w:p w14:paraId="4B2FDE0F" w14:textId="505A798B" w:rsidR="00660D2A" w:rsidRDefault="002C1937" w:rsidP="00660D2A">
      <w:pPr>
        <w:pStyle w:val="Heading2"/>
        <w:jc w:val="both"/>
        <w:rPr>
          <w:b/>
          <w:color w:val="auto"/>
        </w:rPr>
      </w:pPr>
      <w:r>
        <w:rPr>
          <w:b/>
          <w:bCs/>
          <w:color w:val="auto"/>
          <w:lang w:val="el"/>
        </w:rPr>
        <w:lastRenderedPageBreak/>
        <w:t>Παρακολούθηση, μεθοδολογίες, πηγές δεδομένων και οι περιορισμοί τους, πολιτικές δέουσας επιμέλειας και ενεργούς συμμετοχής</w:t>
      </w:r>
    </w:p>
    <w:p w14:paraId="523075A6" w14:textId="77777777" w:rsidR="00CA0CA1" w:rsidRDefault="00CA0CA1" w:rsidP="00CA0CA1">
      <w:pPr>
        <w:spacing w:after="0"/>
        <w:jc w:val="both"/>
      </w:pPr>
    </w:p>
    <w:p w14:paraId="0821B033" w14:textId="281E3A79" w:rsidR="00CA0CA1" w:rsidRDefault="002C1937" w:rsidP="00CA0CA1">
      <w:pPr>
        <w:spacing w:after="0"/>
        <w:jc w:val="both"/>
      </w:pPr>
      <w:r>
        <w:rPr>
          <w:lang w:val="el"/>
        </w:rPr>
        <w:t>Όλα τα δεδομένα ESG, είτε υποβάλλονται σε εξωτερική είτε σε εσωτερική επεξεργασία, συγκεντρώνονται από το επιχειρηματικό τμήμα Βιώσιμων Επενδύσεων, το οποίο είναι υπεύθυνο για τον έλεγχο της ποιότητας των εισερχόμενων δεδομένων και των επεξεργασμένων εξερχόμενων δεδομένων ESG. Αυτή η παρακολούθηση περιλαμβάνει έναν αυτοματοποιημένο έλεγχο ποιότητας καθώς και έναν ποιοτικό έλεγχο από αναλυτές ESG που είναι ειδικοί στους τομείς τους. Οι βαθμολογίες ESG ενημερώνονται σε μηνιαία βάση στο πλαίσιο της ενότητας «Stock Rating Integrator (SRI)» του ιδιόκτητου εργαλείου της Amundi.</w:t>
      </w:r>
    </w:p>
    <w:p w14:paraId="2F760A75" w14:textId="77777777" w:rsidR="00CA0CA1" w:rsidRDefault="00CA0CA1" w:rsidP="00CA0CA1">
      <w:pPr>
        <w:spacing w:after="0"/>
        <w:jc w:val="both"/>
      </w:pPr>
    </w:p>
    <w:p w14:paraId="4764AD5B" w14:textId="00D967F6" w:rsidR="00CA0CA1" w:rsidRDefault="002C1937" w:rsidP="00CA0CA1">
      <w:pPr>
        <w:spacing w:after="0"/>
        <w:jc w:val="both"/>
      </w:pPr>
      <w:r>
        <w:rPr>
          <w:lang w:val="el"/>
        </w:rPr>
        <w:t>Οι δείκτες βιωσιμότητας που χρησιμοποιούνται εντός της Amundi βασίζονται σε ιδιόκτητες μεθοδολογίες. Αυτοί οι δείκτες καθίστανται συνεχώς διαθέσιμοι στο σύστημα διαχείρισης χαρτοφυλακίου επιτρέποντας στους διαχειριστές χαρτοφυλακίου να αξιολογούν τις επιπτώσεις των επενδυτικών τους αποφάσεων.</w:t>
      </w:r>
    </w:p>
    <w:p w14:paraId="742C6EB5" w14:textId="77777777" w:rsidR="00CA0CA1" w:rsidRDefault="00CA0CA1" w:rsidP="00CA0CA1">
      <w:pPr>
        <w:spacing w:after="0"/>
        <w:jc w:val="both"/>
      </w:pPr>
    </w:p>
    <w:p w14:paraId="56D864EE" w14:textId="2B6C48AA" w:rsidR="00CA0CA1" w:rsidRDefault="002C1937" w:rsidP="00CA0CA1">
      <w:pPr>
        <w:spacing w:after="0"/>
        <w:jc w:val="both"/>
      </w:pPr>
      <w:r>
        <w:rPr>
          <w:lang w:val="el"/>
        </w:rPr>
        <w:t>Επιπλέον, αυτοί οι δείκτες ενσωματώνονται στο πλαίσιο ελέγχου της Amundi, με τις αρμοδιότητες να εκτείνονται μεταξύ του πρώτου επιπέδου των ελέγχων που πραγματοποιούνται από τις ίδιες τις ομάδες επενδύσεων και του δεύτερου επιπέδου ελέγχων που πραγματοποιούνται από τις ομάδες κινδύνου, οι οποίες παρακολουθούν σε συνεχή βάση τη συμμόρφωση με τα περιβαλλοντικά ή κοινωνικά χαρακτηριστικά που προωθούνται από το κεφάλαιο.</w:t>
      </w:r>
    </w:p>
    <w:p w14:paraId="1EF67AB4" w14:textId="77777777" w:rsidR="00CA0CA1" w:rsidRDefault="00CA0CA1" w:rsidP="00CA0CA1">
      <w:pPr>
        <w:spacing w:after="0"/>
        <w:jc w:val="both"/>
      </w:pPr>
    </w:p>
    <w:p w14:paraId="64EFC712" w14:textId="7D938231" w:rsidR="00CA0CA1" w:rsidRDefault="002C1937" w:rsidP="00CA0CA1">
      <w:pPr>
        <w:spacing w:after="0"/>
        <w:jc w:val="both"/>
      </w:pPr>
      <w:r>
        <w:rPr>
          <w:lang w:val="el"/>
        </w:rPr>
        <w:t>Η αξιολόγηση ESG της Amundi που χρησιμοποιείται για τον καθορισμό της βαθμολογίας ESG είναι μια ποσοτική βαθμολογία ESG που αντιστοιχεί σε επτά βαθμούς, από το A (καλύτερη συνολική βαθμολογία) έως το G (χειρότερη). Στην κλίμακα αξιολόγησης ESG της Amundi, οι τίτλοι που ανήκουν στον κατάλογο εξαίρεσης αντιστοιχούν σε βαθμολογία G. Για τους εταιρικούς εκδότες, η απόδοση ESG αξιολογείται παγκοσμίως και σε επίπεδο σχετικών κριτηρίων, μέσω σύγκρισης με τη μέση απόδοση του τομέα τους, μέσω του συνδυασμού των τριών διαστάσεων ESG.</w:t>
      </w:r>
    </w:p>
    <w:p w14:paraId="1F1357B6" w14:textId="77777777" w:rsidR="00CA0CA1" w:rsidRDefault="00CA0CA1" w:rsidP="00CA0CA1">
      <w:pPr>
        <w:spacing w:after="0"/>
        <w:jc w:val="both"/>
      </w:pPr>
    </w:p>
    <w:p w14:paraId="386D1FAE" w14:textId="66211AF0" w:rsidR="00CA0CA1" w:rsidRDefault="002C1937" w:rsidP="00CA0CA1">
      <w:pPr>
        <w:spacing w:after="0"/>
        <w:jc w:val="both"/>
      </w:pPr>
      <w:r>
        <w:rPr>
          <w:lang w:val="el"/>
        </w:rPr>
        <w:t>Η μεθοδολογία που εφαρμόζεται από την αξιολόγηση ESG της Amundi χρησιμοποιεί 38 κριτήρια, τα οποία είναι είτε γενικά (κοινά για όλες τις εταιρείες ανεξαρτήτως της δραστηριότητάς τους) είτε αφορούν συγκεκριμένους τομείς και σταθμίζονται σύμφωνα με τον εκάστοτε τομέα, και εξετάζονται ως προς τις επιπτώσεις τους στη φήμη, τη λειτουργική αποδοτικότητα και τους κανονισμούς που αφορούν έναν εκδότη. Οι βαθμολογίες ESG της Amundi είναι πιθανό να εκφράζονται παγκοσμίως στις τρεις διαστάσεις E, S και G ή μεμονωμένα σε οποιονδήποτε περιβαλλοντικό ή κοινωνικό παράγοντα.</w:t>
      </w:r>
    </w:p>
    <w:p w14:paraId="34610FA0" w14:textId="77777777" w:rsidR="00CA0CA1" w:rsidRDefault="00CA0CA1" w:rsidP="00CA0CA1">
      <w:pPr>
        <w:spacing w:after="0"/>
        <w:jc w:val="both"/>
      </w:pPr>
    </w:p>
    <w:p w14:paraId="77429871" w14:textId="59B94A37" w:rsidR="00CA0CA1" w:rsidRDefault="002C1937" w:rsidP="00CA0CA1">
      <w:pPr>
        <w:spacing w:after="0"/>
        <w:jc w:val="both"/>
      </w:pPr>
      <w:r>
        <w:rPr>
          <w:lang w:val="el"/>
        </w:rPr>
        <w:t xml:space="preserve">Οι βαθμολογίες ESG της Amundi δημιουργούνται χρησιμοποιώντας το πλαίσιο ανάλυσης ESG και τη μεθοδολογία βαθμολόγησης της Amundi. Για τις βαθμολογίες ESG , αντλούμε δεδομένα από τις ακόλουθες πηγές: Moody, ISS-Oekem, MSCI και Sustainalytics. </w:t>
      </w:r>
    </w:p>
    <w:p w14:paraId="5E959BBF" w14:textId="77777777" w:rsidR="00ED79AF" w:rsidRDefault="002C1937" w:rsidP="00CA0CA1">
      <w:pPr>
        <w:spacing w:after="0"/>
        <w:jc w:val="both"/>
        <w:rPr>
          <w:lang w:val="it-IT"/>
        </w:rPr>
      </w:pPr>
      <w:r>
        <w:rPr>
          <w:lang w:val="el"/>
        </w:rPr>
        <w:t>Οι περιορισμοί μεθοδολογίας μας συνδέονται με τη χρήση δεδομένων ESG. Το τοπίο των δεδομένων ESG βρίσκεται αυτή τη στιγμή στο στάδιο της τυποποίησης, γεγονός που μπορεί να επηρεάσει την ποιότητα των δεδομένων, ενώ η κάλυψη των δεδομένων αποτελεί επίσης έναν περιορισμό. Ο τρέχων και μελλοντικός κανονισμός θα βελτιώσει τις τυποποιημένες αναφορές και εταιρικές γνωστοποιήσεις στις οποίες βασίζονται τα δεδομένα ESG.</w:t>
      </w:r>
    </w:p>
    <w:p w14:paraId="7631640C" w14:textId="698641C2" w:rsidR="00CA0CA1" w:rsidRDefault="002C1937" w:rsidP="00CA0CA1">
      <w:pPr>
        <w:spacing w:after="0"/>
        <w:jc w:val="both"/>
      </w:pPr>
      <w:r>
        <w:rPr>
          <w:lang w:val="el"/>
        </w:rPr>
        <w:cr/>
        <w:t>Αντιλαμβανόμαστε αυτούς τους περιορισμούς, τους οποίους μετριάζουμε με έναν συνδυασμό προσεγγίσεων.</w:t>
      </w:r>
    </w:p>
    <w:p w14:paraId="0EF0261D" w14:textId="77777777" w:rsidR="00CA0CA1" w:rsidRDefault="00CA0CA1" w:rsidP="00CA0CA1">
      <w:pPr>
        <w:spacing w:after="0"/>
        <w:jc w:val="both"/>
      </w:pPr>
    </w:p>
    <w:p w14:paraId="1AC25977" w14:textId="54C46F56" w:rsidR="00CA0CA1" w:rsidRDefault="002C1937" w:rsidP="00CA0CA1">
      <w:pPr>
        <w:spacing w:after="0"/>
        <w:jc w:val="both"/>
      </w:pPr>
      <w:r>
        <w:rPr>
          <w:lang w:val="el"/>
        </w:rPr>
        <w:lastRenderedPageBreak/>
        <w:t xml:space="preserve">Κάθε μήνα, η βαθμολογία ESG υπολογίζεται εκ νέου σύμφωνα με την ποσοτική μεθοδολογία της Amundi. Το αποτέλεσμα αυτού του υπολογισμού αναθεωρείται από τους αναλυτές ESG που πραγματοποιούν έναν ποιοτικό «δειγματοληπτικό έλεγχο» στον τομέα τους με βάση διάφορους ελέγχους. </w:t>
      </w:r>
    </w:p>
    <w:p w14:paraId="24BDEE26" w14:textId="77777777" w:rsidR="00CA0CA1" w:rsidRDefault="00CA0CA1" w:rsidP="00CA0CA1">
      <w:pPr>
        <w:spacing w:after="0"/>
        <w:jc w:val="both"/>
      </w:pPr>
    </w:p>
    <w:p w14:paraId="3AFEC389" w14:textId="6FC647D0" w:rsidR="00660D2A" w:rsidRDefault="002C1937" w:rsidP="00CA0CA1">
      <w:pPr>
        <w:spacing w:after="0"/>
        <w:jc w:val="both"/>
      </w:pPr>
      <w:r>
        <w:rPr>
          <w:lang w:val="el"/>
        </w:rPr>
        <w:t>Η Amundi συναναστρέφεται με εταιρείες επενδύσεων ή δυνητικές εταιρείες επενδύσεων σε επίπεδο εκδότη, ανεξάρτητα από τον τύπο των συμμετοχών που κατέχουν (μετοχές και ομόλογα).</w:t>
      </w:r>
    </w:p>
    <w:p w14:paraId="3E9FA262" w14:textId="77777777" w:rsidR="00CA0CA1" w:rsidRPr="005E1D0B" w:rsidRDefault="00CA0CA1" w:rsidP="00CA0CA1">
      <w:pPr>
        <w:spacing w:after="0"/>
        <w:jc w:val="both"/>
      </w:pPr>
    </w:p>
    <w:sectPr w:rsidR="00CA0CA1" w:rsidRPr="005E1D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7B0B" w14:textId="77777777" w:rsidR="000D6EA7" w:rsidRDefault="000D6EA7" w:rsidP="002C1937">
      <w:pPr>
        <w:spacing w:after="0" w:line="240" w:lineRule="auto"/>
      </w:pPr>
      <w:r>
        <w:separator/>
      </w:r>
    </w:p>
  </w:endnote>
  <w:endnote w:type="continuationSeparator" w:id="0">
    <w:p w14:paraId="43179D8D" w14:textId="77777777" w:rsidR="000D6EA7" w:rsidRDefault="000D6EA7" w:rsidP="002C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D29B" w14:textId="77777777" w:rsidR="000D6EA7" w:rsidRDefault="000D6EA7" w:rsidP="002C1937">
      <w:pPr>
        <w:spacing w:after="0" w:line="240" w:lineRule="auto"/>
      </w:pPr>
      <w:r>
        <w:separator/>
      </w:r>
    </w:p>
  </w:footnote>
  <w:footnote w:type="continuationSeparator" w:id="0">
    <w:p w14:paraId="082F2E23" w14:textId="77777777" w:rsidR="000D6EA7" w:rsidRDefault="000D6EA7" w:rsidP="002C1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E1162"/>
    <w:multiLevelType w:val="hybridMultilevel"/>
    <w:tmpl w:val="6ACC7730"/>
    <w:lvl w:ilvl="0" w:tplc="E3C833F6">
      <w:start w:val="1"/>
      <w:numFmt w:val="lowerLetter"/>
      <w:lvlText w:val="(%1)"/>
      <w:lvlJc w:val="left"/>
      <w:pPr>
        <w:ind w:left="720" w:hanging="360"/>
      </w:pPr>
      <w:rPr>
        <w:rFonts w:hint="default"/>
      </w:rPr>
    </w:lvl>
    <w:lvl w:ilvl="1" w:tplc="AD08BEF4" w:tentative="1">
      <w:start w:val="1"/>
      <w:numFmt w:val="lowerLetter"/>
      <w:lvlText w:val="%2."/>
      <w:lvlJc w:val="left"/>
      <w:pPr>
        <w:ind w:left="1440" w:hanging="360"/>
      </w:pPr>
    </w:lvl>
    <w:lvl w:ilvl="2" w:tplc="335480A6" w:tentative="1">
      <w:start w:val="1"/>
      <w:numFmt w:val="lowerRoman"/>
      <w:lvlText w:val="%3."/>
      <w:lvlJc w:val="right"/>
      <w:pPr>
        <w:ind w:left="2160" w:hanging="180"/>
      </w:pPr>
    </w:lvl>
    <w:lvl w:ilvl="3" w:tplc="D42E8EE8" w:tentative="1">
      <w:start w:val="1"/>
      <w:numFmt w:val="decimal"/>
      <w:lvlText w:val="%4."/>
      <w:lvlJc w:val="left"/>
      <w:pPr>
        <w:ind w:left="2880" w:hanging="360"/>
      </w:pPr>
    </w:lvl>
    <w:lvl w:ilvl="4" w:tplc="C1F45A06" w:tentative="1">
      <w:start w:val="1"/>
      <w:numFmt w:val="lowerLetter"/>
      <w:lvlText w:val="%5."/>
      <w:lvlJc w:val="left"/>
      <w:pPr>
        <w:ind w:left="3600" w:hanging="360"/>
      </w:pPr>
    </w:lvl>
    <w:lvl w:ilvl="5" w:tplc="2F145AE0" w:tentative="1">
      <w:start w:val="1"/>
      <w:numFmt w:val="lowerRoman"/>
      <w:lvlText w:val="%6."/>
      <w:lvlJc w:val="right"/>
      <w:pPr>
        <w:ind w:left="4320" w:hanging="180"/>
      </w:pPr>
    </w:lvl>
    <w:lvl w:ilvl="6" w:tplc="A89E2872" w:tentative="1">
      <w:start w:val="1"/>
      <w:numFmt w:val="decimal"/>
      <w:lvlText w:val="%7."/>
      <w:lvlJc w:val="left"/>
      <w:pPr>
        <w:ind w:left="5040" w:hanging="360"/>
      </w:pPr>
    </w:lvl>
    <w:lvl w:ilvl="7" w:tplc="13A874BE" w:tentative="1">
      <w:start w:val="1"/>
      <w:numFmt w:val="lowerLetter"/>
      <w:lvlText w:val="%8."/>
      <w:lvlJc w:val="left"/>
      <w:pPr>
        <w:ind w:left="5760" w:hanging="360"/>
      </w:pPr>
    </w:lvl>
    <w:lvl w:ilvl="8" w:tplc="31B2D892" w:tentative="1">
      <w:start w:val="1"/>
      <w:numFmt w:val="lowerRoman"/>
      <w:lvlText w:val="%9."/>
      <w:lvlJc w:val="right"/>
      <w:pPr>
        <w:ind w:left="6480" w:hanging="180"/>
      </w:pPr>
    </w:lvl>
  </w:abstractNum>
  <w:abstractNum w:abstractNumId="1" w15:restartNumberingAfterBreak="0">
    <w:nsid w:val="7A944A4F"/>
    <w:multiLevelType w:val="hybridMultilevel"/>
    <w:tmpl w:val="22CEBE50"/>
    <w:lvl w:ilvl="0" w:tplc="A366F814">
      <w:start w:val="1"/>
      <w:numFmt w:val="lowerRoman"/>
      <w:lvlText w:val="(%1)"/>
      <w:lvlJc w:val="left"/>
      <w:pPr>
        <w:ind w:left="1080" w:hanging="720"/>
      </w:pPr>
      <w:rPr>
        <w:rFonts w:hint="default"/>
      </w:rPr>
    </w:lvl>
    <w:lvl w:ilvl="1" w:tplc="C1764924" w:tentative="1">
      <w:start w:val="1"/>
      <w:numFmt w:val="lowerLetter"/>
      <w:lvlText w:val="%2."/>
      <w:lvlJc w:val="left"/>
      <w:pPr>
        <w:ind w:left="1440" w:hanging="360"/>
      </w:pPr>
    </w:lvl>
    <w:lvl w:ilvl="2" w:tplc="578ACFCA" w:tentative="1">
      <w:start w:val="1"/>
      <w:numFmt w:val="lowerRoman"/>
      <w:lvlText w:val="%3."/>
      <w:lvlJc w:val="right"/>
      <w:pPr>
        <w:ind w:left="2160" w:hanging="180"/>
      </w:pPr>
    </w:lvl>
    <w:lvl w:ilvl="3" w:tplc="2350104C" w:tentative="1">
      <w:start w:val="1"/>
      <w:numFmt w:val="decimal"/>
      <w:lvlText w:val="%4."/>
      <w:lvlJc w:val="left"/>
      <w:pPr>
        <w:ind w:left="2880" w:hanging="360"/>
      </w:pPr>
    </w:lvl>
    <w:lvl w:ilvl="4" w:tplc="711484A4" w:tentative="1">
      <w:start w:val="1"/>
      <w:numFmt w:val="lowerLetter"/>
      <w:lvlText w:val="%5."/>
      <w:lvlJc w:val="left"/>
      <w:pPr>
        <w:ind w:left="3600" w:hanging="360"/>
      </w:pPr>
    </w:lvl>
    <w:lvl w:ilvl="5" w:tplc="14A0B0BA" w:tentative="1">
      <w:start w:val="1"/>
      <w:numFmt w:val="lowerRoman"/>
      <w:lvlText w:val="%6."/>
      <w:lvlJc w:val="right"/>
      <w:pPr>
        <w:ind w:left="4320" w:hanging="180"/>
      </w:pPr>
    </w:lvl>
    <w:lvl w:ilvl="6" w:tplc="544C7C8E" w:tentative="1">
      <w:start w:val="1"/>
      <w:numFmt w:val="decimal"/>
      <w:lvlText w:val="%7."/>
      <w:lvlJc w:val="left"/>
      <w:pPr>
        <w:ind w:left="5040" w:hanging="360"/>
      </w:pPr>
    </w:lvl>
    <w:lvl w:ilvl="7" w:tplc="E4C61470" w:tentative="1">
      <w:start w:val="1"/>
      <w:numFmt w:val="lowerLetter"/>
      <w:lvlText w:val="%8."/>
      <w:lvlJc w:val="left"/>
      <w:pPr>
        <w:ind w:left="5760" w:hanging="360"/>
      </w:pPr>
    </w:lvl>
    <w:lvl w:ilvl="8" w:tplc="8E54AE4A" w:tentative="1">
      <w:start w:val="1"/>
      <w:numFmt w:val="lowerRoman"/>
      <w:lvlText w:val="%9."/>
      <w:lvlJc w:val="right"/>
      <w:pPr>
        <w:ind w:left="6480" w:hanging="180"/>
      </w:pPr>
    </w:lvl>
  </w:abstractNum>
  <w:num w:numId="1" w16cid:durableId="1144546428">
    <w:abstractNumId w:val="0"/>
  </w:num>
  <w:num w:numId="2" w16cid:durableId="158448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975C6"/>
    <w:rsid w:val="000D6EA7"/>
    <w:rsid w:val="000D77E7"/>
    <w:rsid w:val="001510FB"/>
    <w:rsid w:val="001B13EB"/>
    <w:rsid w:val="002473A3"/>
    <w:rsid w:val="00252E7E"/>
    <w:rsid w:val="002C1937"/>
    <w:rsid w:val="0033164A"/>
    <w:rsid w:val="003C68FA"/>
    <w:rsid w:val="003F0A0C"/>
    <w:rsid w:val="005324D2"/>
    <w:rsid w:val="005E1D0B"/>
    <w:rsid w:val="00660D2A"/>
    <w:rsid w:val="006C2A16"/>
    <w:rsid w:val="007544B9"/>
    <w:rsid w:val="00774DA0"/>
    <w:rsid w:val="007A3E2B"/>
    <w:rsid w:val="007C5B2B"/>
    <w:rsid w:val="008B40A5"/>
    <w:rsid w:val="009D31E9"/>
    <w:rsid w:val="00A13E02"/>
    <w:rsid w:val="00A70259"/>
    <w:rsid w:val="00AA7FDA"/>
    <w:rsid w:val="00B363AE"/>
    <w:rsid w:val="00C15A78"/>
    <w:rsid w:val="00C348D9"/>
    <w:rsid w:val="00C70481"/>
    <w:rsid w:val="00C91675"/>
    <w:rsid w:val="00CA0CA1"/>
    <w:rsid w:val="00CB6D7C"/>
    <w:rsid w:val="00D03AAD"/>
    <w:rsid w:val="00DA1CE3"/>
    <w:rsid w:val="00ED79AF"/>
    <w:rsid w:val="00F6179F"/>
    <w:rsid w:val="00FC3984"/>
    <w:rsid w:val="00FE7549"/>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A1CE3"/>
  </w:style>
  <w:style w:type="paragraph" w:styleId="Heading1">
    <w:name w:val="heading 1"/>
    <w:basedOn w:val="Normal"/>
    <w:next w:val="Normal"/>
    <w:link w:val="Heading1Char"/>
    <w:uiPriority w:val="9"/>
    <w:qFormat/>
    <w:rsid w:val="00CB6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6D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6D7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CB6D7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473A3"/>
    <w:pPr>
      <w:ind w:left="720"/>
      <w:contextualSpacing/>
    </w:pPr>
  </w:style>
  <w:style w:type="table" w:styleId="TableGrid">
    <w:name w:val="Table Grid"/>
    <w:basedOn w:val="Table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9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1937"/>
  </w:style>
  <w:style w:type="paragraph" w:styleId="Footer">
    <w:name w:val="footer"/>
    <w:basedOn w:val="Normal"/>
    <w:link w:val="FooterChar"/>
    <w:uiPriority w:val="99"/>
    <w:unhideWhenUsed/>
    <w:rsid w:val="002C19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1937"/>
  </w:style>
  <w:style w:type="paragraph" w:styleId="Revision">
    <w:name w:val="Revision"/>
    <w:hidden/>
    <w:uiPriority w:val="99"/>
    <w:semiHidden/>
    <w:rsid w:val="002C19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Giovanni Romano</cp:lastModifiedBy>
  <cp:revision>15</cp:revision>
  <dcterms:created xsi:type="dcterms:W3CDTF">2022-11-23T07:29:00Z</dcterms:created>
  <dcterms:modified xsi:type="dcterms:W3CDTF">2025-09-04T18:59:00Z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