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985D" w14:textId="77777777" w:rsidR="008B40A5" w:rsidRPr="00D03AAD" w:rsidRDefault="002C1937" w:rsidP="008B40A5">
      <w:pPr>
        <w:ind w:left="-851" w:right="-851"/>
        <w:jc w:val="center"/>
        <w:rPr>
          <w:rFonts w:cstheme="minorHAnsi"/>
          <w:b/>
          <w:bCs/>
          <w:color w:val="FF0000"/>
          <w:sz w:val="24"/>
          <w:szCs w:val="24"/>
          <w:lang w:val="en-US"/>
        </w:rPr>
      </w:pPr>
      <w:r>
        <w:rPr>
          <w:rFonts w:cstheme="minorHAnsi"/>
          <w:b/>
          <w:bCs/>
          <w:color w:val="FF0000"/>
          <w:sz w:val="24"/>
          <w:szCs w:val="24"/>
          <w:lang w:val="en-US"/>
        </w:rPr>
        <w:t xml:space="preserve">Website Product Disclosures further to art. 10(1) of the Sustainable Finance Disclosure Regulation for art. 8 sub-funds </w:t>
      </w:r>
    </w:p>
    <w:p w14:paraId="5E70ED2B" w14:textId="77777777" w:rsidR="008B40A5" w:rsidRPr="00D03AAD" w:rsidRDefault="002C1937" w:rsidP="008B40A5">
      <w:pPr>
        <w:jc w:val="center"/>
        <w:rPr>
          <w:b/>
          <w:color w:val="FF0000"/>
          <w:sz w:val="24"/>
          <w:szCs w:val="24"/>
          <w:lang w:val="en-US"/>
        </w:rPr>
      </w:pPr>
      <w:r w:rsidRPr="000D77E7">
        <w:rPr>
          <w:b/>
          <w:color w:val="FF0000"/>
          <w:sz w:val="24"/>
          <w:szCs w:val="24"/>
          <w:lang w:val="en-US"/>
        </w:rPr>
        <w:t>SUMMARY</w:t>
      </w:r>
    </w:p>
    <w:p w14:paraId="7207B8A6" w14:textId="2D43B8A9" w:rsidR="001B13EB" w:rsidRDefault="001B13EB" w:rsidP="00C15A78">
      <w:pPr>
        <w:ind w:left="-851" w:right="-851"/>
        <w:rPr>
          <w:lang w:val="en-US"/>
        </w:rPr>
      </w:pPr>
    </w:p>
    <w:tbl>
      <w:tblPr>
        <w:tblStyle w:val="Grilledutableau"/>
        <w:tblW w:w="1049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C70481" w14:paraId="3A58E765" w14:textId="77777777" w:rsidTr="003F0A0C">
        <w:tc>
          <w:tcPr>
            <w:tcW w:w="5387" w:type="dxa"/>
          </w:tcPr>
          <w:p w14:paraId="3E33FD6D" w14:textId="77777777" w:rsidR="002C1937" w:rsidRDefault="002C1937" w:rsidP="002C1937">
            <w:pPr>
              <w:ind w:left="750" w:right="-851"/>
              <w:jc w:val="both"/>
              <w:rPr>
                <w:lang w:val="en-US"/>
              </w:rPr>
            </w:pPr>
            <w:r w:rsidRPr="005E1D0B">
              <w:rPr>
                <w:b/>
                <w:bCs/>
                <w:lang w:val="en-US"/>
              </w:rPr>
              <w:t xml:space="preserve">Product </w:t>
            </w:r>
            <w:r w:rsidR="00C15A78">
              <w:rPr>
                <w:b/>
                <w:bCs/>
                <w:lang w:val="en-US"/>
              </w:rPr>
              <w:t>N</w:t>
            </w:r>
            <w:r w:rsidRPr="005E1D0B">
              <w:rPr>
                <w:b/>
                <w:bCs/>
                <w:lang w:val="en-US"/>
              </w:rPr>
              <w:t>ame</w:t>
            </w:r>
            <w:r w:rsidRPr="005E1D0B">
              <w:rPr>
                <w:lang w:val="en-US"/>
              </w:rPr>
              <w:t xml:space="preserve">: </w:t>
            </w:r>
          </w:p>
          <w:p w14:paraId="3A4A049C" w14:textId="12396067" w:rsidR="005E1D0B" w:rsidRPr="005E1D0B" w:rsidRDefault="002C1937" w:rsidP="002C1937">
            <w:pPr>
              <w:ind w:left="750" w:right="-851"/>
              <w:jc w:val="both"/>
              <w:rPr>
                <w:lang w:val="en-US"/>
              </w:rPr>
            </w:pPr>
            <w:r w:rsidRPr="00D269D8">
              <w:rPr>
                <w:color w:val="FF0000"/>
                <w:lang w:val="en-US"/>
              </w:rPr>
              <w:t>CPR INVEST - GLOBAL DISRUPTIVE OPPORTUNITIES</w:t>
            </w:r>
          </w:p>
        </w:tc>
        <w:tc>
          <w:tcPr>
            <w:tcW w:w="5103" w:type="dxa"/>
          </w:tcPr>
          <w:p w14:paraId="654F9555" w14:textId="77777777" w:rsidR="002C1937" w:rsidRDefault="002C1937" w:rsidP="002C1937">
            <w:pPr>
              <w:ind w:left="2028" w:right="-851"/>
            </w:pPr>
            <w:r w:rsidRPr="005E1D0B">
              <w:rPr>
                <w:b/>
                <w:bCs/>
              </w:rPr>
              <w:t xml:space="preserve">Legal </w:t>
            </w:r>
            <w:proofErr w:type="spellStart"/>
            <w:r w:rsidRPr="005E1D0B">
              <w:rPr>
                <w:b/>
                <w:bCs/>
              </w:rPr>
              <w:t>entity</w:t>
            </w:r>
            <w:proofErr w:type="spellEnd"/>
            <w:r w:rsidRPr="005E1D0B">
              <w:rPr>
                <w:b/>
                <w:bCs/>
              </w:rPr>
              <w:t xml:space="preserve"> identifier</w:t>
            </w:r>
            <w:r w:rsidRPr="005E1D0B">
              <w:t xml:space="preserve">: </w:t>
            </w:r>
          </w:p>
          <w:p w14:paraId="449F9D0D" w14:textId="1D1FBAD7" w:rsidR="005E1D0B" w:rsidRPr="005E1D0B" w:rsidRDefault="002C1937" w:rsidP="002C1937">
            <w:pPr>
              <w:ind w:left="2028" w:right="-851"/>
            </w:pPr>
            <w:r w:rsidRPr="00D269D8">
              <w:rPr>
                <w:color w:val="FF0000"/>
              </w:rPr>
              <w:t>222100LU67GQT03SEE74</w:t>
            </w:r>
          </w:p>
        </w:tc>
      </w:tr>
    </w:tbl>
    <w:p w14:paraId="69DD299F" w14:textId="77777777" w:rsidR="00252E7E" w:rsidRPr="005E1D0B" w:rsidRDefault="00252E7E" w:rsidP="00C15A78">
      <w:pPr>
        <w:pStyle w:val="Titre2"/>
        <w:ind w:left="-851" w:right="-851"/>
        <w:jc w:val="both"/>
      </w:pPr>
    </w:p>
    <w:p w14:paraId="6B980FDB" w14:textId="44844A26" w:rsidR="00CB6D7C" w:rsidRDefault="00CB6D7C" w:rsidP="00C15A78">
      <w:pPr>
        <w:ind w:left="-851" w:right="-851"/>
        <w:jc w:val="both"/>
      </w:pPr>
    </w:p>
    <w:p w14:paraId="221D7E94" w14:textId="32AB1DAC" w:rsidR="00660D2A" w:rsidRDefault="002C1937" w:rsidP="00660D2A">
      <w:pPr>
        <w:pStyle w:val="Titre2"/>
        <w:jc w:val="both"/>
        <w:rPr>
          <w:b/>
          <w:color w:val="auto"/>
          <w:lang w:val="en-US"/>
        </w:rPr>
      </w:pPr>
      <w:r w:rsidRPr="00660D2A">
        <w:rPr>
          <w:b/>
          <w:color w:val="auto"/>
          <w:lang w:val="en-US"/>
        </w:rPr>
        <w:t>No sustainable investment objective</w:t>
      </w:r>
    </w:p>
    <w:p w14:paraId="699E0DF9" w14:textId="77777777" w:rsidR="00660D2A" w:rsidRPr="00660D2A" w:rsidRDefault="00660D2A" w:rsidP="00660D2A">
      <w:pPr>
        <w:rPr>
          <w:lang w:val="en-US"/>
        </w:rPr>
      </w:pPr>
    </w:p>
    <w:p w14:paraId="4263D541" w14:textId="6F8AF607" w:rsidR="00660D2A" w:rsidRDefault="002C1937" w:rsidP="00660D2A">
      <w:pPr>
        <w:jc w:val="both"/>
        <w:rPr>
          <w:lang w:val="en-US"/>
        </w:rPr>
      </w:pPr>
      <w:r>
        <w:rPr>
          <w:lang w:val="en-US"/>
        </w:rPr>
        <w:t>This financial product promotes environmental or social characteristics, but does not have as its objective sustainable investment</w:t>
      </w:r>
    </w:p>
    <w:p w14:paraId="25A15EC7" w14:textId="77777777" w:rsidR="00660D2A" w:rsidRDefault="00660D2A" w:rsidP="00660D2A">
      <w:pPr>
        <w:jc w:val="both"/>
        <w:rPr>
          <w:lang w:val="en-US"/>
        </w:rPr>
      </w:pPr>
    </w:p>
    <w:p w14:paraId="1AF35F3C" w14:textId="41AE1DCF" w:rsidR="00660D2A" w:rsidRDefault="002C1937" w:rsidP="00660D2A">
      <w:pPr>
        <w:pStyle w:val="Titre2"/>
        <w:jc w:val="both"/>
        <w:rPr>
          <w:b/>
          <w:color w:val="auto"/>
          <w:lang w:val="en-US"/>
        </w:rPr>
      </w:pPr>
      <w:r w:rsidRPr="00660D2A">
        <w:rPr>
          <w:b/>
          <w:color w:val="auto"/>
          <w:lang w:val="en-US"/>
        </w:rPr>
        <w:t>Environmental or social characteristics of the financial product</w:t>
      </w:r>
    </w:p>
    <w:p w14:paraId="4FBA6710" w14:textId="77777777" w:rsidR="00660D2A" w:rsidRPr="00660D2A" w:rsidRDefault="00660D2A" w:rsidP="00660D2A">
      <w:pPr>
        <w:rPr>
          <w:lang w:val="en-US"/>
        </w:rPr>
      </w:pPr>
    </w:p>
    <w:p w14:paraId="58418D74" w14:textId="72F58734" w:rsidR="002C1937" w:rsidRDefault="002C1937" w:rsidP="00660D2A">
      <w:pPr>
        <w:jc w:val="both"/>
        <w:rPr>
          <w:lang w:val="en-US"/>
        </w:rPr>
      </w:pPr>
      <w:r>
        <w:rPr>
          <w:lang w:val="en-US"/>
        </w:rPr>
        <w:t xml:space="preserve">The Compartment promotes environmental and/or social characteristics by aiming to have a higher ESG score </w:t>
      </w:r>
      <w:r w:rsidRPr="002C1937">
        <w:rPr>
          <w:lang w:val="en-US"/>
        </w:rPr>
        <w:t>of the MSCI World Net Return Index (the “Reference Index”)</w:t>
      </w:r>
      <w:r>
        <w:rPr>
          <w:lang w:val="en-US"/>
        </w:rPr>
        <w:t xml:space="preserve">. </w:t>
      </w:r>
    </w:p>
    <w:p w14:paraId="2AE703FB" w14:textId="5050C503" w:rsidR="005E1D0B" w:rsidRDefault="002C1937" w:rsidP="00660D2A">
      <w:pPr>
        <w:jc w:val="both"/>
        <w:rPr>
          <w:lang w:val="en-US"/>
        </w:rPr>
      </w:pPr>
      <w:r>
        <w:rPr>
          <w:lang w:val="en-US"/>
        </w:rPr>
        <w:t>In determining the ESG score of the Compartment and the Benchmark, ESG performance is assessed by comparing the average performance of a security against the security issuer’s industry, in respect of each of the three ESG characteristics of environmental, social and governance. The Reference Index is a broad market index which does not assess or include constituents according to environmental and/or social characteristics and therefore is not intended to be consistent with the characteristics promoted by the Compartment. No ESG reference benchmark has been designated.</w:t>
      </w:r>
    </w:p>
    <w:p w14:paraId="45E23E26" w14:textId="1377012A" w:rsidR="00660D2A" w:rsidRDefault="00660D2A" w:rsidP="00660D2A">
      <w:pPr>
        <w:jc w:val="both"/>
        <w:rPr>
          <w:lang w:val="en-US"/>
        </w:rPr>
      </w:pPr>
    </w:p>
    <w:p w14:paraId="7DBA6510" w14:textId="24F0387B" w:rsidR="00660D2A" w:rsidRDefault="002C1937" w:rsidP="00660D2A">
      <w:pPr>
        <w:pStyle w:val="Titre2"/>
        <w:jc w:val="both"/>
        <w:rPr>
          <w:b/>
          <w:color w:val="auto"/>
          <w:lang w:val="en-US"/>
        </w:rPr>
      </w:pPr>
      <w:r w:rsidRPr="00660D2A">
        <w:rPr>
          <w:b/>
          <w:color w:val="auto"/>
          <w:lang w:val="en-US"/>
        </w:rPr>
        <w:t>Proportion of investments</w:t>
      </w:r>
    </w:p>
    <w:p w14:paraId="5AE8D88A" w14:textId="77777777" w:rsidR="002C1937" w:rsidRDefault="002C1937" w:rsidP="00660D2A">
      <w:pPr>
        <w:jc w:val="both"/>
        <w:rPr>
          <w:lang w:val="en-US"/>
        </w:rPr>
      </w:pPr>
      <w:r>
        <w:rPr>
          <w:lang w:val="en-US"/>
        </w:rPr>
        <w:cr/>
        <w:t xml:space="preserve">At least 75% of the Compartment’s securities and instruments will be used to meet the promoted environmental or social characteristics in accordance with the binding elements of the investment strategy of the Compartment. </w:t>
      </w:r>
      <w:r>
        <w:rPr>
          <w:lang w:val="en-US"/>
        </w:rPr>
        <w:cr/>
      </w:r>
    </w:p>
    <w:p w14:paraId="0B509AAC" w14:textId="5F6B7F96" w:rsidR="005E1D0B" w:rsidRDefault="002C1937" w:rsidP="00660D2A">
      <w:pPr>
        <w:jc w:val="both"/>
        <w:rPr>
          <w:lang w:val="en-US"/>
        </w:rPr>
      </w:pPr>
      <w:r>
        <w:rPr>
          <w:lang w:val="en-US"/>
        </w:rPr>
        <w:t>Furthermore, the Compartment commits to have a minimum of 10% of sustainable investments as per the below chart. Investments aligned with other E/S characteristics will represent the difference between the actual proportion of investments aligned with environmental or social characteristics and the actual proportion of sustainable investments. The planned proportion of the other environmental investment represents a minimum of 10% and may change as the actual proportions of Taxonomy-aligned and/or Social investments increase</w:t>
      </w:r>
      <w:r>
        <w:rPr>
          <w:lang w:val="en-US"/>
        </w:rPr>
        <w:cr/>
      </w:r>
    </w:p>
    <w:p w14:paraId="7ED0F757" w14:textId="31ADAF61" w:rsidR="00660D2A" w:rsidRDefault="00660D2A" w:rsidP="00660D2A">
      <w:pPr>
        <w:jc w:val="both"/>
        <w:rPr>
          <w:lang w:val="en-US"/>
        </w:rPr>
      </w:pPr>
    </w:p>
    <w:p w14:paraId="4B2FDE0F" w14:textId="505A798B" w:rsidR="00660D2A" w:rsidRDefault="002C1937" w:rsidP="00660D2A">
      <w:pPr>
        <w:pStyle w:val="Titre2"/>
        <w:jc w:val="both"/>
        <w:rPr>
          <w:b/>
          <w:color w:val="auto"/>
          <w:lang w:val="en-US"/>
        </w:rPr>
      </w:pPr>
      <w:r w:rsidRPr="00660D2A">
        <w:rPr>
          <w:b/>
          <w:color w:val="auto"/>
          <w:lang w:val="en-US"/>
        </w:rPr>
        <w:lastRenderedPageBreak/>
        <w:t>Monitoring, methodologies, data sources and their limitations, due diligence and engagement policies</w:t>
      </w:r>
    </w:p>
    <w:p w14:paraId="39F59B8B" w14:textId="77777777" w:rsidR="00660D2A" w:rsidRPr="00660D2A" w:rsidRDefault="00660D2A" w:rsidP="00660D2A">
      <w:pPr>
        <w:rPr>
          <w:lang w:val="en-US"/>
        </w:rPr>
      </w:pPr>
    </w:p>
    <w:p w14:paraId="6FD744C4" w14:textId="3A0A98E6" w:rsidR="00660D2A" w:rsidRDefault="002C1937" w:rsidP="00660D2A">
      <w:pPr>
        <w:jc w:val="both"/>
        <w:rPr>
          <w:lang w:val="en-US"/>
        </w:rPr>
      </w:pPr>
      <w:r>
        <w:rPr>
          <w:lang w:val="en-US"/>
        </w:rPr>
        <w:t xml:space="preserve">All ESG data, either externally or internally processed, is </w:t>
      </w:r>
      <w:proofErr w:type="spellStart"/>
      <w:r>
        <w:rPr>
          <w:lang w:val="en-US"/>
        </w:rPr>
        <w:t>centralised</w:t>
      </w:r>
      <w:proofErr w:type="spellEnd"/>
      <w:r>
        <w:rPr>
          <w:lang w:val="en-US"/>
        </w:rPr>
        <w:t xml:space="preserve"> by the Responsible Investment Business line, which is responsible for controlling the quality of the inputs and processed ESG outputs. This monitoring includes an automated quality check as well as a qualitative check from ESG analysts who are specialists of their sectors. ESG scores are updated on a monthly basis within Amundi's proprietary tool Stock Rating Integrator (SRI) module.</w:t>
      </w:r>
      <w:r>
        <w:rPr>
          <w:lang w:val="en-US"/>
        </w:rPr>
        <w:cr/>
      </w:r>
      <w:r>
        <w:rPr>
          <w:lang w:val="en-US"/>
        </w:rPr>
        <w:cr/>
        <w:t>Sustainability indicators used within Amundi rely on proprietary methodologies. These indicators are continuously made available in the portfolio management system allowing the portfolio managers to assess the impact of their investment decisions.</w:t>
      </w:r>
      <w:r>
        <w:rPr>
          <w:lang w:val="en-US"/>
        </w:rPr>
        <w:cr/>
      </w:r>
      <w:r>
        <w:rPr>
          <w:lang w:val="en-US"/>
        </w:rPr>
        <w:cr/>
        <w:t>Moreover these indicators are embedded within Amundi’s control framework, with responsibilities spread between the first level of controls performed by the Investment teams themselves and the second level of controls performed by the Risk teams, who monitor compliance with environmental or social characteristics promoted by the fund on an ongoing basis.</w:t>
      </w:r>
      <w:r>
        <w:rPr>
          <w:lang w:val="en-US"/>
        </w:rPr>
        <w:cr/>
      </w:r>
      <w:r>
        <w:rPr>
          <w:lang w:val="en-US"/>
        </w:rPr>
        <w:cr/>
        <w:t>The Amundi ESG rating used to determine the ESG score is an ESG quantitative score translated into seven grades, ranging from A (the best scores universe) to G (the worst). In the Amundi ESG Rating scale, the securities belonging to the exclusion list correspond to a G. For corporate issuers, ESG performance is assessed globally and at relevant criteria level by comparison with the average performance of its industry, through the combination of the three ESG dimensions.</w:t>
      </w:r>
      <w:r>
        <w:rPr>
          <w:lang w:val="en-US"/>
        </w:rPr>
        <w:cr/>
      </w:r>
      <w:r>
        <w:rPr>
          <w:lang w:val="en-US"/>
        </w:rPr>
        <w:cr/>
        <w:t>The methodology applied by Amundi ESG rating uses 38 criteria that are either generic (common to all companies regardless of their activity) or sector specific which are weighted according to sector and considered in terms of their impact on reputation, operational efficiency and regulations in respect of an issuer. Amundi ESG ratings are likely to be expressed globally on the three E, S and G dimensions or individually on any environmental or social factor.</w:t>
      </w:r>
      <w:r>
        <w:rPr>
          <w:lang w:val="en-US"/>
        </w:rPr>
        <w:cr/>
      </w:r>
      <w:r>
        <w:rPr>
          <w:lang w:val="en-US"/>
        </w:rPr>
        <w:cr/>
        <w:t>Amundi's ESG scores are built using Amundi's ESG analysis framework and scoring methodology. We source data from the following sources for ESG scores:  Moody, ISS-</w:t>
      </w:r>
      <w:proofErr w:type="spellStart"/>
      <w:r>
        <w:rPr>
          <w:lang w:val="en-US"/>
        </w:rPr>
        <w:t>Oekem</w:t>
      </w:r>
      <w:proofErr w:type="spellEnd"/>
      <w:r>
        <w:rPr>
          <w:lang w:val="en-US"/>
        </w:rPr>
        <w:t xml:space="preserve">, MSCI, and Sustainalytics. </w:t>
      </w:r>
      <w:r>
        <w:rPr>
          <w:lang w:val="en-US"/>
        </w:rPr>
        <w:cr/>
        <w:t xml:space="preserve">Our methodology limitations are by construction linked to use of ESG data. The ESG data landscape is currently being </w:t>
      </w:r>
      <w:proofErr w:type="spellStart"/>
      <w:r>
        <w:rPr>
          <w:lang w:val="en-US"/>
        </w:rPr>
        <w:t>standardised</w:t>
      </w:r>
      <w:proofErr w:type="spellEnd"/>
      <w:r>
        <w:rPr>
          <w:lang w:val="en-US"/>
        </w:rPr>
        <w:t xml:space="preserve"> which can impact data quality; data coverage also is a limitation. Current and future regulation will improve standardized reporting and corporate disclosures on which ESG data rely.</w:t>
      </w:r>
      <w:r>
        <w:rPr>
          <w:lang w:val="en-US"/>
        </w:rPr>
        <w:cr/>
      </w:r>
      <w:r>
        <w:rPr>
          <w:lang w:val="en-US"/>
        </w:rPr>
        <w:cr/>
        <w:t>We are aware of these limitations which we mitigate by a combination of approaches.</w:t>
      </w:r>
      <w:r>
        <w:rPr>
          <w:lang w:val="en-US"/>
        </w:rPr>
        <w:cr/>
      </w:r>
      <w:r>
        <w:rPr>
          <w:lang w:val="en-US"/>
        </w:rPr>
        <w:cr/>
        <w:t xml:space="preserve">Each month, the ESG score are recalculated according Amundi quantitative methodology. The result of this calculation is then reviewed by the ESG analysts who perform a qualitative "sampling control" on its sector based on various checks. </w:t>
      </w:r>
      <w:r>
        <w:rPr>
          <w:lang w:val="en-US"/>
        </w:rPr>
        <w:cr/>
      </w:r>
      <w:r>
        <w:rPr>
          <w:lang w:val="en-US"/>
        </w:rPr>
        <w:cr/>
        <w:t>Amundi engages investee or potential investee companies at the issuer level regardless of the type of holdings held (equity and bonds).</w:t>
      </w:r>
    </w:p>
    <w:p w14:paraId="3AFEC389" w14:textId="77777777" w:rsidR="00660D2A" w:rsidRPr="005E1D0B" w:rsidRDefault="00660D2A" w:rsidP="00660D2A">
      <w:pPr>
        <w:jc w:val="both"/>
        <w:rPr>
          <w:lang w:val="en-US"/>
        </w:rPr>
      </w:pPr>
    </w:p>
    <w:sectPr w:rsidR="00660D2A" w:rsidRPr="005E1D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64FBD" w14:textId="77777777" w:rsidR="002C1937" w:rsidRDefault="002C1937" w:rsidP="002C1937">
      <w:pPr>
        <w:spacing w:after="0" w:line="240" w:lineRule="auto"/>
      </w:pPr>
      <w:r>
        <w:separator/>
      </w:r>
    </w:p>
  </w:endnote>
  <w:endnote w:type="continuationSeparator" w:id="0">
    <w:p w14:paraId="5AE33B2A" w14:textId="77777777" w:rsidR="002C1937" w:rsidRDefault="002C1937" w:rsidP="002C1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FBA07" w14:textId="77777777" w:rsidR="002C1937" w:rsidRDefault="002C1937" w:rsidP="002C1937">
      <w:pPr>
        <w:spacing w:after="0" w:line="240" w:lineRule="auto"/>
      </w:pPr>
      <w:r>
        <w:separator/>
      </w:r>
    </w:p>
  </w:footnote>
  <w:footnote w:type="continuationSeparator" w:id="0">
    <w:p w14:paraId="15572665" w14:textId="77777777" w:rsidR="002C1937" w:rsidRDefault="002C1937" w:rsidP="002C1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E1162"/>
    <w:multiLevelType w:val="hybridMultilevel"/>
    <w:tmpl w:val="6ACC7730"/>
    <w:lvl w:ilvl="0" w:tplc="E3C833F6">
      <w:start w:val="1"/>
      <w:numFmt w:val="lowerLetter"/>
      <w:lvlText w:val="(%1)"/>
      <w:lvlJc w:val="left"/>
      <w:pPr>
        <w:ind w:left="720" w:hanging="360"/>
      </w:pPr>
      <w:rPr>
        <w:rFonts w:hint="default"/>
      </w:rPr>
    </w:lvl>
    <w:lvl w:ilvl="1" w:tplc="AD08BEF4" w:tentative="1">
      <w:start w:val="1"/>
      <w:numFmt w:val="lowerLetter"/>
      <w:lvlText w:val="%2."/>
      <w:lvlJc w:val="left"/>
      <w:pPr>
        <w:ind w:left="1440" w:hanging="360"/>
      </w:pPr>
    </w:lvl>
    <w:lvl w:ilvl="2" w:tplc="335480A6" w:tentative="1">
      <w:start w:val="1"/>
      <w:numFmt w:val="lowerRoman"/>
      <w:lvlText w:val="%3."/>
      <w:lvlJc w:val="right"/>
      <w:pPr>
        <w:ind w:left="2160" w:hanging="180"/>
      </w:pPr>
    </w:lvl>
    <w:lvl w:ilvl="3" w:tplc="D42E8EE8" w:tentative="1">
      <w:start w:val="1"/>
      <w:numFmt w:val="decimal"/>
      <w:lvlText w:val="%4."/>
      <w:lvlJc w:val="left"/>
      <w:pPr>
        <w:ind w:left="2880" w:hanging="360"/>
      </w:pPr>
    </w:lvl>
    <w:lvl w:ilvl="4" w:tplc="C1F45A06" w:tentative="1">
      <w:start w:val="1"/>
      <w:numFmt w:val="lowerLetter"/>
      <w:lvlText w:val="%5."/>
      <w:lvlJc w:val="left"/>
      <w:pPr>
        <w:ind w:left="3600" w:hanging="360"/>
      </w:pPr>
    </w:lvl>
    <w:lvl w:ilvl="5" w:tplc="2F145AE0" w:tentative="1">
      <w:start w:val="1"/>
      <w:numFmt w:val="lowerRoman"/>
      <w:lvlText w:val="%6."/>
      <w:lvlJc w:val="right"/>
      <w:pPr>
        <w:ind w:left="4320" w:hanging="180"/>
      </w:pPr>
    </w:lvl>
    <w:lvl w:ilvl="6" w:tplc="A89E2872" w:tentative="1">
      <w:start w:val="1"/>
      <w:numFmt w:val="decimal"/>
      <w:lvlText w:val="%7."/>
      <w:lvlJc w:val="left"/>
      <w:pPr>
        <w:ind w:left="5040" w:hanging="360"/>
      </w:pPr>
    </w:lvl>
    <w:lvl w:ilvl="7" w:tplc="13A874BE" w:tentative="1">
      <w:start w:val="1"/>
      <w:numFmt w:val="lowerLetter"/>
      <w:lvlText w:val="%8."/>
      <w:lvlJc w:val="left"/>
      <w:pPr>
        <w:ind w:left="5760" w:hanging="360"/>
      </w:pPr>
    </w:lvl>
    <w:lvl w:ilvl="8" w:tplc="31B2D892" w:tentative="1">
      <w:start w:val="1"/>
      <w:numFmt w:val="lowerRoman"/>
      <w:lvlText w:val="%9."/>
      <w:lvlJc w:val="right"/>
      <w:pPr>
        <w:ind w:left="6480" w:hanging="180"/>
      </w:pPr>
    </w:lvl>
  </w:abstractNum>
  <w:abstractNum w:abstractNumId="1" w15:restartNumberingAfterBreak="0">
    <w:nsid w:val="7A944A4F"/>
    <w:multiLevelType w:val="hybridMultilevel"/>
    <w:tmpl w:val="22CEBE50"/>
    <w:lvl w:ilvl="0" w:tplc="A366F814">
      <w:start w:val="1"/>
      <w:numFmt w:val="lowerRoman"/>
      <w:lvlText w:val="(%1)"/>
      <w:lvlJc w:val="left"/>
      <w:pPr>
        <w:ind w:left="1080" w:hanging="720"/>
      </w:pPr>
      <w:rPr>
        <w:rFonts w:hint="default"/>
      </w:rPr>
    </w:lvl>
    <w:lvl w:ilvl="1" w:tplc="C1764924" w:tentative="1">
      <w:start w:val="1"/>
      <w:numFmt w:val="lowerLetter"/>
      <w:lvlText w:val="%2."/>
      <w:lvlJc w:val="left"/>
      <w:pPr>
        <w:ind w:left="1440" w:hanging="360"/>
      </w:pPr>
    </w:lvl>
    <w:lvl w:ilvl="2" w:tplc="578ACFCA" w:tentative="1">
      <w:start w:val="1"/>
      <w:numFmt w:val="lowerRoman"/>
      <w:lvlText w:val="%3."/>
      <w:lvlJc w:val="right"/>
      <w:pPr>
        <w:ind w:left="2160" w:hanging="180"/>
      </w:pPr>
    </w:lvl>
    <w:lvl w:ilvl="3" w:tplc="2350104C" w:tentative="1">
      <w:start w:val="1"/>
      <w:numFmt w:val="decimal"/>
      <w:lvlText w:val="%4."/>
      <w:lvlJc w:val="left"/>
      <w:pPr>
        <w:ind w:left="2880" w:hanging="360"/>
      </w:pPr>
    </w:lvl>
    <w:lvl w:ilvl="4" w:tplc="711484A4" w:tentative="1">
      <w:start w:val="1"/>
      <w:numFmt w:val="lowerLetter"/>
      <w:lvlText w:val="%5."/>
      <w:lvlJc w:val="left"/>
      <w:pPr>
        <w:ind w:left="3600" w:hanging="360"/>
      </w:pPr>
    </w:lvl>
    <w:lvl w:ilvl="5" w:tplc="14A0B0BA" w:tentative="1">
      <w:start w:val="1"/>
      <w:numFmt w:val="lowerRoman"/>
      <w:lvlText w:val="%6."/>
      <w:lvlJc w:val="right"/>
      <w:pPr>
        <w:ind w:left="4320" w:hanging="180"/>
      </w:pPr>
    </w:lvl>
    <w:lvl w:ilvl="6" w:tplc="544C7C8E" w:tentative="1">
      <w:start w:val="1"/>
      <w:numFmt w:val="decimal"/>
      <w:lvlText w:val="%7."/>
      <w:lvlJc w:val="left"/>
      <w:pPr>
        <w:ind w:left="5040" w:hanging="360"/>
      </w:pPr>
    </w:lvl>
    <w:lvl w:ilvl="7" w:tplc="E4C61470" w:tentative="1">
      <w:start w:val="1"/>
      <w:numFmt w:val="lowerLetter"/>
      <w:lvlText w:val="%8."/>
      <w:lvlJc w:val="left"/>
      <w:pPr>
        <w:ind w:left="5760" w:hanging="360"/>
      </w:pPr>
    </w:lvl>
    <w:lvl w:ilvl="8" w:tplc="8E54AE4A" w:tentative="1">
      <w:start w:val="1"/>
      <w:numFmt w:val="lowerRoman"/>
      <w:lvlText w:val="%9."/>
      <w:lvlJc w:val="right"/>
      <w:pPr>
        <w:ind w:left="6480" w:hanging="180"/>
      </w:pPr>
    </w:lvl>
  </w:abstractNum>
  <w:num w:numId="1" w16cid:durableId="1144546428">
    <w:abstractNumId w:val="0"/>
  </w:num>
  <w:num w:numId="2" w16cid:durableId="1584486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7C"/>
    <w:rsid w:val="000975C6"/>
    <w:rsid w:val="000D77E7"/>
    <w:rsid w:val="001510FB"/>
    <w:rsid w:val="001B13EB"/>
    <w:rsid w:val="002473A3"/>
    <w:rsid w:val="00252E7E"/>
    <w:rsid w:val="002C1937"/>
    <w:rsid w:val="0033164A"/>
    <w:rsid w:val="003C68FA"/>
    <w:rsid w:val="003F0A0C"/>
    <w:rsid w:val="005324D2"/>
    <w:rsid w:val="005E1D0B"/>
    <w:rsid w:val="00660D2A"/>
    <w:rsid w:val="006C2A16"/>
    <w:rsid w:val="00774DA0"/>
    <w:rsid w:val="007C5B2B"/>
    <w:rsid w:val="008B40A5"/>
    <w:rsid w:val="009D31E9"/>
    <w:rsid w:val="00A13E02"/>
    <w:rsid w:val="00A70259"/>
    <w:rsid w:val="00AA7FDA"/>
    <w:rsid w:val="00B363AE"/>
    <w:rsid w:val="00C15A78"/>
    <w:rsid w:val="00C348D9"/>
    <w:rsid w:val="00C70481"/>
    <w:rsid w:val="00CB6D7C"/>
    <w:rsid w:val="00D03AAD"/>
    <w:rsid w:val="00D269D8"/>
    <w:rsid w:val="00DA1CE3"/>
    <w:rsid w:val="00EF3430"/>
    <w:rsid w:val="00F6179F"/>
    <w:rsid w:val="00F75DD9"/>
    <w:rsid w:val="00FC398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F6A4"/>
  <w15:chartTrackingRefBased/>
  <w15:docId w15:val="{3BA77637-9B32-4798-BF48-5FCD1D52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A1CE3"/>
  </w:style>
  <w:style w:type="paragraph" w:styleId="Titre1">
    <w:name w:val="heading 1"/>
    <w:basedOn w:val="Normal"/>
    <w:next w:val="Normal"/>
    <w:link w:val="Titre1Car"/>
    <w:uiPriority w:val="9"/>
    <w:qFormat/>
    <w:rsid w:val="00CB6D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CB6D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B6D7C"/>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CB6D7C"/>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2473A3"/>
    <w:pPr>
      <w:ind w:left="720"/>
      <w:contextualSpacing/>
    </w:pPr>
  </w:style>
  <w:style w:type="table" w:styleId="Grilledutableau">
    <w:name w:val="Table Grid"/>
    <w:basedOn w:val="TableauNormal"/>
    <w:uiPriority w:val="39"/>
    <w:rsid w:val="005E1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C1937"/>
    <w:pPr>
      <w:tabs>
        <w:tab w:val="center" w:pos="4536"/>
        <w:tab w:val="right" w:pos="9072"/>
      </w:tabs>
      <w:spacing w:after="0" w:line="240" w:lineRule="auto"/>
    </w:pPr>
  </w:style>
  <w:style w:type="character" w:customStyle="1" w:styleId="En-tteCar">
    <w:name w:val="En-tête Car"/>
    <w:basedOn w:val="Policepardfaut"/>
    <w:link w:val="En-tte"/>
    <w:uiPriority w:val="99"/>
    <w:rsid w:val="002C1937"/>
  </w:style>
  <w:style w:type="paragraph" w:styleId="Pieddepage">
    <w:name w:val="footer"/>
    <w:basedOn w:val="Normal"/>
    <w:link w:val="PieddepageCar"/>
    <w:uiPriority w:val="99"/>
    <w:unhideWhenUsed/>
    <w:rsid w:val="002C19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1937"/>
  </w:style>
  <w:style w:type="paragraph" w:styleId="Rvision">
    <w:name w:val="Revision"/>
    <w:hidden/>
    <w:uiPriority w:val="99"/>
    <w:semiHidden/>
    <w:rsid w:val="002C19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782</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Amundi Asset Management</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Joly Pierre (AMUNDI-ITS)</dc:creator>
  <cp:lastModifiedBy>Bourdon Lindsay (CPR-AM)</cp:lastModifiedBy>
  <cp:revision>2</cp:revision>
  <dcterms:created xsi:type="dcterms:W3CDTF">2025-09-12T12:00:00Z</dcterms:created>
  <dcterms:modified xsi:type="dcterms:W3CDTF">2025-09-12T12:00:00Z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c45191-74e4-40a9-a4c5-ab5c9391e33a_ActionId">
    <vt:lpwstr>6db03e14-624e-4a7a-b582-84528a8e74ee</vt:lpwstr>
  </property>
  <property fmtid="{D5CDD505-2E9C-101B-9397-08002B2CF9AE}" pid="3" name="MSIP_Label_6ac45191-74e4-40a9-a4c5-ab5c9391e33a_ContentBits">
    <vt:lpwstr>0</vt:lpwstr>
  </property>
  <property fmtid="{D5CDD505-2E9C-101B-9397-08002B2CF9AE}" pid="4" name="MSIP_Label_6ac45191-74e4-40a9-a4c5-ab5c9391e33a_Enabled">
    <vt:lpwstr>true</vt:lpwstr>
  </property>
  <property fmtid="{D5CDD505-2E9C-101B-9397-08002B2CF9AE}" pid="5" name="MSIP_Label_6ac45191-74e4-40a9-a4c5-ab5c9391e33a_Method">
    <vt:lpwstr>Standard</vt:lpwstr>
  </property>
  <property fmtid="{D5CDD505-2E9C-101B-9397-08002B2CF9AE}" pid="6" name="MSIP_Label_6ac45191-74e4-40a9-a4c5-ab5c9391e33a_Name">
    <vt:lpwstr>Internal Data</vt:lpwstr>
  </property>
  <property fmtid="{D5CDD505-2E9C-101B-9397-08002B2CF9AE}" pid="7" name="MSIP_Label_6ac45191-74e4-40a9-a4c5-ab5c9391e33a_SetDate">
    <vt:lpwstr>2022-07-08T12:53:13Z</vt:lpwstr>
  </property>
  <property fmtid="{D5CDD505-2E9C-101B-9397-08002B2CF9AE}" pid="8" name="MSIP_Label_6ac45191-74e4-40a9-a4c5-ab5c9391e33a_SiteId">
    <vt:lpwstr>a5c34232-eadc-4609-bff3-dd6fcdae3fe2</vt:lpwstr>
  </property>
</Properties>
</file>